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pPr>
      <w:r>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t>国土资源部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000000" w:themeColor="text1"/>
          <w:spacing w:val="0"/>
          <w:sz w:val="18"/>
          <w:szCs w:val="18"/>
          <w14:textFill>
            <w14:solidFill>
              <w14:schemeClr w14:val="tx1"/>
            </w14:solidFill>
          </w14:textFill>
        </w:rPr>
      </w:pPr>
      <w:bookmarkStart w:id="0" w:name="_GoBack"/>
      <w:r>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t>关于坚持和完善土地招标拍卖挂牌出让制度的意见</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国土资发〔2011〕63号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各省、自治区、直辖市国土资源厅（国土环境资源厅、国土资源局、国土资源和房屋管理局、规划和国土资源管理局），副省级城市国土资源主管部门，新疆生产建设兵团国土资源局：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去年以来，各地按照中央和部关于房地产市场调控政策要求，在坚持土地招标拍卖挂牌（以下简称招拍挂）制度基础上，积极探索创新城市住房用地出让政策，促进地价房价合理调整，取得了积极成效。为进一步落实《国务院办公厅关于进一步做好房地产市场调控工作有关问题的通知》（国办发〔2011〕1号）的要求，完善招拍挂的供地政策，加强土地出让政策在房地产市场调控中的积极作用，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一、正确把握土地招拍挂出让政策的调控作用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有土地使用权招拍挂出让制度是市场配置国有经营性建设用地的基本制度。它充分体现了公开公平公正竞争和诚实信用的市场基本原则，建立了反映市场供求关系、资源稀缺程度、环境损害成本的价格形成机制，完全符合社会主义市场经济体制的基本方向。坚持国有经营性建设用地招拍挂出让制度和在房地产市场运行正常条件下按“价高者得”原则取得土地，符合市场优化配置土地资源的基本原则，符合法律政策要求，同时在抑制行政权力干预市场，从源头上防治土地出让领域腐败中发挥了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当前，部分城市商品住房价格居高不下，户型结构和保障性安居工程用地布局不合理，少数规划的商品住房优质地块和二三线城市商品住房土地出让存在着地价非理性上涨的可能。为进一步落实中央关于房地产市场调控各项政策和工作要求，积极主动发挥招拍挂出让土地政策的稳定市场、优化结构、促进地价房价合理调整、保障住房用地的作用，当前和今后一个时期，各级国土资源主管部门必须从完善土地市场机制、健全土地宏观调控体系、实施节约优先战略的基本要求出发，以“保民生、促稳定”为重点，坚持土地招拍挂出让基本制度，创新和完善有效实现中央调控政策要求的土地出让政策和措施，主动解决商品住房建设项目供地、开发利用和监管中出现的新情况、新问题，实现土地经济效益与社会综合效益的统一、市场配置与宏观调控的统一，促进城市房地产市场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二、完善住房用地招拍挂计划公示制度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市、县在向社会公布年度住房用地出让计划的基础上，建立计划出让地块开发建设的宗地条件公布机制，根据出让进度安排，进一步细化拟出让地块、地段的规划和土地使用条件，定期向社会发布细化的商品住房和保障性安居工程各类房屋建设用地信息，同时明确意向用地者申请用地的途径和方式，公开接受用地申请。单位和个人对列入出让计划的具体地块有使用意向并提出符合规定的申请后，应及时组织实施土地招拍挂出让。公示保障性安居工程项目划拨用地时，一并向社会公示申请用地单位，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三、调整完善土地招拍挂出让政策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各地要根据当地土地市场、住房建设发展阶段，对需要出让的宗地，选择恰当的土地出让方式和政策，落实政府促进土地合理布局，节约集约利用，有效合理调整地价房价，保障民生，稳定市场预期的目标。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（一）限定房价或地价，以挂牌或拍卖方式出让政策性住房用地。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限房价、竞地价”方式出让土地使用权的，市、县国土资源主管部门应在土地出让前，会同住房建设、物价、规划行政主管部门，按相关政策规定确定住房销售条件，根据拟出让宗地所在区域商品住房销售价格水平，合理确定拟出让宗地的控制性房屋销售价格上限和住房套型面积标准，以此作为土地使用权转让的约束性条件，一并纳入土地出让方案，报经政府批准后，以挂牌、拍卖方式公开出让土地使用权，符合条件、承诺地价最高且不低于底价的为土地使用权竞得人。出让成交后，竞得人接受的宗地控制性房屋销售价格、成交地价、土地使用权转让条件及违约处罚条款等，均应在成交确认书和出让合同中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限地价、竞房价”方式出让土地使用权的，市、县国土资源主管部门应在土地出让前，根据拟出让宗地的征地拆迁安置补偿费、土地前期开发成本、同一区域基准地价和市场地价水平、土地使用权转让条件、房屋销售价格和政府确定的房价控制目标等因素，综合确定拟出让宗地的出让价格，同时应确定房价的最高控制价（应低于同区域、同条件商品住房市场价），一并纳入土地出让方案，报经政府批准后，以挂牌、拍卖方式公开出让土地使用权，按照承诺销售房价最低者（开发商售房时的最高售价）确定为土地竞得人。招拍挂成交后，竞得人承诺的销售房价、成交地价、土地使用权转让条件及违约处罚条款等，均应在成交确认书和出让合同中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（二）限定配建保障性住房建设面积，以挂牌或拍卖方式出让商品住房用地。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商品住房用地中配建保障性住房”方式出让土地使用权的，市、县国土资源主管部门应会同住房建设、规划、房屋管理和住房保障等部门确定拟出让宗地配建廉租房、经济适用房等保障性住房的面积、套数、建设进度、政府收回条件、回购价格及土地面积分摊办法等，纳入出让方案，经政府批准后，写入出让公告及文件，组织实施挂牌、拍卖。土地出让成交后，成交价款和竞得人承诺配建的保障性住房事项一并写入成交确认书和出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（三）对土地开发利用条件和出让地价进行综合评定，以招标方式确定土地使用权人。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以“土地利用综合条件最佳”为标准出让土地使用权，市、县国土资源主管部门应依据规划条件和土地使用标准按照宗地所在区域条件、政府对开发建设的要求，制定土地出让方案和评标标准，在依法确定土地出让底价的基础上，将土地价款及交付时间、开发建设周期、建设要求、土地节约集约程度、企业以往出让合同履行情况等影响土地开发利用的因素作为评标条件，合理确定各因素权重，会同有关部门制定标书，依法依纪，发布公告，组织招投标。经综合评标，以土地利用综合条件最佳确定土地使用者。确定中标人后，应向社会公示并将上述土地开发利用条件写入中标通知书和出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四、大力推进土地使用权出让网上运行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出让国有建设用地使用权涉及的出让公告、出让文件、竞买人资格、成交结果等，都应在部门户网站和各地国土资源主管部门的网上公开发布。积极推行国有经营性建设用地网上挂牌出让方式。市、县国土资源主管部门可以通过网上发布出让公告信息，明确土地开发利用、竞买人资格和违约处罚等条件，组织网上报价竞价并确定竞得人。网上挂牌出让成交后，市、县国土资源主管部门要按照国有土地招拍挂出让规范，及时与竞得人签订纸质件的成交确认书和出让合同。对竞得人需要进行相关资料审查的，建立网上成交后的审查制度，发现受让人存在违法违规行为或不具有竞买资格时，挂牌出让不成交，应重新组织出让，并对违规者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五、完善土地招拍挂出让合同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市、县国土资源主管部门要依据现行土地管理法律政策，对附加各类开发建设销售条件的政策性商品住房用地的出让，增加出让合同条款，完善出让合同内容，严格供后监管。政策性商品住房用地出让成交后，竞得人或中标人应当按照成交确认书或中标通知书的要求，按时与国土资源主管部门签订出让合同。建房套数、套型、面积比例、容积率、项目开竣工时间、销售对象条件、房屋销售价格上限、受让人承诺的销售房价、土地转让条件、配建要求等规划、建设、土地使用条件以及相应的违约责任，应当在土地出让合同或住房建设和销售合同中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为保证政策性商品住房用地及时开发利用，市、县国土资源主管部门可以在出让合同中明确约定不得改变土地用途和性质、不得擅自提高或降低规定的建设标准、保障性住房先行建设和先行交付、不得违规转让土地使用权等内容，对违反规定或约定的，可在出让合同中增加“收回土地使用权并依法追究责任”等相关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各地应当加强对政策性商品住房用地出让合同履行情况的监督检查，对违反合同约定的，应会同有关部门依法处罚，追究违约责任。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省级国土资源主管部门要切实加强对市、县住房供地政策制度和组织实施工作的指导和监管，及时发现和解决出现的问题。也可按照本意见，探索其他用途土地出让方式和土地出让各环节的制度创新，进一步完善国有土地使用权招拍挂出让制度，保障和促进中央关于房地产市场调控政策的落实。</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18"/>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C3E8E"/>
    <w:rsid w:val="04CC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2020-11-05T08:15:00Z</dcterms:created>
  <dc:creator>寻</dc:creator>
  <cp:lastModifiedBy>寻</cp:lastModifiedBy>
  <dcterms:modified xsi:type="dcterms:W3CDTF">2020-11-05T08:18:09Z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