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ascii="Calibri" w:hAnsi="Calibri" w:cs="Calibri"/>
          <w:i w:val="0"/>
          <w:caps w:val="0"/>
          <w:color w:val="333333"/>
          <w:spacing w:val="6"/>
          <w:sz w:val="40"/>
          <w:szCs w:val="40"/>
        </w:rPr>
      </w:pPr>
      <w:r>
        <w:rPr>
          <w:rFonts w:ascii="方正小标宋简体" w:hAnsi="方正小标宋简体" w:eastAsia="方正小标宋简体" w:cs="方正小标宋简体"/>
          <w:i w:val="0"/>
          <w:caps w:val="0"/>
          <w:color w:val="333333"/>
          <w:spacing w:val="0"/>
          <w:sz w:val="40"/>
          <w:szCs w:val="40"/>
          <w:bdr w:val="none" w:color="auto" w:sz="0" w:space="0"/>
          <w:shd w:val="clear" w:fill="FFFFFF"/>
        </w:rPr>
        <w:t>工程建设项目招标投标活动投诉处理办法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460" w:lineRule="exact"/>
        <w:ind w:left="0" w:right="0" w:firstLine="560"/>
        <w:jc w:val="both"/>
        <w:textAlignment w:val="auto"/>
        <w:rPr>
          <w:rFonts w:hint="default" w:ascii="Calibri" w:hAnsi="Calibri" w:cs="Calibri"/>
          <w:i w:val="0"/>
          <w:caps w:val="0"/>
          <w:color w:val="333333"/>
          <w:spacing w:val="6"/>
          <w:sz w:val="24"/>
          <w:szCs w:val="24"/>
        </w:rPr>
      </w:pPr>
      <w:r>
        <w:rPr>
          <w:rFonts w:ascii="楷体" w:hAnsi="楷体" w:eastAsia="楷体" w:cs="楷体"/>
          <w:i w:val="0"/>
          <w:caps w:val="0"/>
          <w:color w:val="333333"/>
          <w:spacing w:val="0"/>
          <w:sz w:val="24"/>
          <w:szCs w:val="24"/>
          <w:bdr w:val="none" w:color="auto" w:sz="0" w:space="0"/>
          <w:shd w:val="clear" w:fill="FFFFFF"/>
        </w:rPr>
        <w:t>（</w:t>
      </w:r>
      <w:r>
        <w:rPr>
          <w:rFonts w:hint="default" w:ascii="Times New Roman" w:hAnsi="Times New Roman" w:cs="Times New Roman"/>
          <w:i w:val="0"/>
          <w:caps w:val="0"/>
          <w:color w:val="333333"/>
          <w:spacing w:val="0"/>
          <w:sz w:val="24"/>
          <w:szCs w:val="24"/>
          <w:bdr w:val="none" w:color="auto" w:sz="0" w:space="0"/>
          <w:shd w:val="clear" w:fill="FFFFFF"/>
        </w:rPr>
        <w:t>2004</w:t>
      </w:r>
      <w:r>
        <w:rPr>
          <w:rFonts w:hint="eastAsia" w:ascii="楷体" w:hAnsi="楷体" w:eastAsia="楷体" w:cs="楷体"/>
          <w:i w:val="0"/>
          <w:caps w:val="0"/>
          <w:color w:val="333333"/>
          <w:spacing w:val="0"/>
          <w:sz w:val="24"/>
          <w:szCs w:val="24"/>
          <w:bdr w:val="none" w:color="auto" w:sz="0" w:space="0"/>
          <w:shd w:val="clear" w:fill="FFFFFF"/>
        </w:rPr>
        <w:t>年</w:t>
      </w:r>
      <w:r>
        <w:rPr>
          <w:rFonts w:hint="default" w:ascii="Times New Roman" w:hAnsi="Times New Roman" w:cs="Times New Roman"/>
          <w:i w:val="0"/>
          <w:caps w:val="0"/>
          <w:color w:val="333333"/>
          <w:spacing w:val="0"/>
          <w:sz w:val="24"/>
          <w:szCs w:val="24"/>
          <w:bdr w:val="none" w:color="auto" w:sz="0" w:space="0"/>
          <w:shd w:val="clear" w:fill="FFFFFF"/>
        </w:rPr>
        <w:t>6</w:t>
      </w:r>
      <w:r>
        <w:rPr>
          <w:rFonts w:hint="eastAsia" w:ascii="楷体" w:hAnsi="楷体" w:eastAsia="楷体" w:cs="楷体"/>
          <w:i w:val="0"/>
          <w:caps w:val="0"/>
          <w:color w:val="333333"/>
          <w:spacing w:val="0"/>
          <w:sz w:val="24"/>
          <w:szCs w:val="24"/>
          <w:bdr w:val="none" w:color="auto" w:sz="0" w:space="0"/>
          <w:shd w:val="clear" w:fill="FFFFFF"/>
        </w:rPr>
        <w:t>月</w:t>
      </w:r>
      <w:r>
        <w:rPr>
          <w:rFonts w:hint="default" w:ascii="Times New Roman" w:hAnsi="Times New Roman" w:cs="Times New Roman"/>
          <w:i w:val="0"/>
          <w:caps w:val="0"/>
          <w:color w:val="333333"/>
          <w:spacing w:val="0"/>
          <w:sz w:val="24"/>
          <w:szCs w:val="24"/>
          <w:bdr w:val="none" w:color="auto" w:sz="0" w:space="0"/>
          <w:shd w:val="clear" w:fill="FFFFFF"/>
        </w:rPr>
        <w:t>21</w:t>
      </w:r>
      <w:r>
        <w:rPr>
          <w:rFonts w:hint="eastAsia" w:ascii="楷体" w:hAnsi="楷体" w:eastAsia="楷体" w:cs="楷体"/>
          <w:i w:val="0"/>
          <w:caps w:val="0"/>
          <w:color w:val="333333"/>
          <w:spacing w:val="0"/>
          <w:sz w:val="24"/>
          <w:szCs w:val="24"/>
          <w:bdr w:val="none" w:color="auto" w:sz="0" w:space="0"/>
          <w:shd w:val="clear" w:fill="FFFFFF"/>
        </w:rPr>
        <w:t>日，国家发改委、建设部、铁道部、交通部、信息产业部、水利部、民航总局第</w:t>
      </w:r>
      <w:r>
        <w:rPr>
          <w:rFonts w:hint="default" w:ascii="Times New Roman" w:hAnsi="Times New Roman" w:cs="Times New Roman"/>
          <w:i w:val="0"/>
          <w:caps w:val="0"/>
          <w:color w:val="333333"/>
          <w:spacing w:val="0"/>
          <w:sz w:val="24"/>
          <w:szCs w:val="24"/>
          <w:bdr w:val="none" w:color="auto" w:sz="0" w:space="0"/>
          <w:shd w:val="clear" w:fill="FFFFFF"/>
        </w:rPr>
        <w:t>11</w:t>
      </w:r>
      <w:r>
        <w:rPr>
          <w:rFonts w:hint="eastAsia" w:ascii="楷体" w:hAnsi="楷体" w:eastAsia="楷体" w:cs="楷体"/>
          <w:i w:val="0"/>
          <w:caps w:val="0"/>
          <w:color w:val="333333"/>
          <w:spacing w:val="0"/>
          <w:sz w:val="24"/>
          <w:szCs w:val="24"/>
          <w:bdr w:val="none" w:color="auto" w:sz="0" w:space="0"/>
          <w:shd w:val="clear" w:fill="FFFFFF"/>
        </w:rPr>
        <w:t>号令发布；</w:t>
      </w:r>
      <w:r>
        <w:rPr>
          <w:rFonts w:hint="default" w:ascii="Times New Roman" w:hAnsi="Times New Roman" w:cs="Times New Roman"/>
          <w:i w:val="0"/>
          <w:caps w:val="0"/>
          <w:color w:val="333333"/>
          <w:spacing w:val="0"/>
          <w:sz w:val="24"/>
          <w:szCs w:val="24"/>
          <w:bdr w:val="none" w:color="auto" w:sz="0" w:space="0"/>
          <w:shd w:val="clear" w:fill="FFFFFF"/>
        </w:rPr>
        <w:t>2013</w:t>
      </w:r>
      <w:r>
        <w:rPr>
          <w:rFonts w:hint="eastAsia" w:ascii="楷体" w:hAnsi="楷体" w:eastAsia="楷体" w:cs="楷体"/>
          <w:i w:val="0"/>
          <w:caps w:val="0"/>
          <w:color w:val="333333"/>
          <w:spacing w:val="0"/>
          <w:sz w:val="24"/>
          <w:szCs w:val="24"/>
          <w:bdr w:val="none" w:color="auto" w:sz="0" w:space="0"/>
          <w:shd w:val="clear" w:fill="FFFFFF"/>
        </w:rPr>
        <w:t>年</w:t>
      </w:r>
      <w:r>
        <w:rPr>
          <w:rFonts w:hint="default" w:ascii="Times New Roman" w:hAnsi="Times New Roman" w:cs="Times New Roman"/>
          <w:i w:val="0"/>
          <w:caps w:val="0"/>
          <w:color w:val="333333"/>
          <w:spacing w:val="0"/>
          <w:sz w:val="24"/>
          <w:szCs w:val="24"/>
          <w:bdr w:val="none" w:color="auto" w:sz="0" w:space="0"/>
          <w:shd w:val="clear" w:fill="FFFFFF"/>
        </w:rPr>
        <w:t>3</w:t>
      </w:r>
      <w:r>
        <w:rPr>
          <w:rFonts w:hint="eastAsia" w:ascii="楷体" w:hAnsi="楷体" w:eastAsia="楷体" w:cs="楷体"/>
          <w:i w:val="0"/>
          <w:caps w:val="0"/>
          <w:color w:val="333333"/>
          <w:spacing w:val="0"/>
          <w:sz w:val="24"/>
          <w:szCs w:val="24"/>
          <w:bdr w:val="none" w:color="auto" w:sz="0" w:space="0"/>
          <w:shd w:val="clear" w:fill="FFFFFF"/>
        </w:rPr>
        <w:t>月</w:t>
      </w:r>
      <w:r>
        <w:rPr>
          <w:rFonts w:hint="default" w:ascii="Times New Roman" w:hAnsi="Times New Roman" w:cs="Times New Roman"/>
          <w:i w:val="0"/>
          <w:caps w:val="0"/>
          <w:color w:val="333333"/>
          <w:spacing w:val="0"/>
          <w:sz w:val="24"/>
          <w:szCs w:val="24"/>
          <w:bdr w:val="none" w:color="auto" w:sz="0" w:space="0"/>
          <w:shd w:val="clear" w:fill="FFFFFF"/>
        </w:rPr>
        <w:t>11</w:t>
      </w:r>
      <w:r>
        <w:rPr>
          <w:rFonts w:hint="eastAsia" w:ascii="楷体" w:hAnsi="楷体" w:eastAsia="楷体" w:cs="楷体"/>
          <w:i w:val="0"/>
          <w:caps w:val="0"/>
          <w:color w:val="333333"/>
          <w:spacing w:val="0"/>
          <w:sz w:val="24"/>
          <w:szCs w:val="24"/>
          <w:bdr w:val="none" w:color="auto" w:sz="0" w:space="0"/>
          <w:shd w:val="clear" w:fill="FFFFFF"/>
        </w:rPr>
        <w:t>日，国家发展改革委、工业和信息化部、财政部、住房城乡建设部、交通运输部、铁道部、水利部、广电总局、民航局第</w:t>
      </w:r>
      <w:r>
        <w:rPr>
          <w:rFonts w:hint="default" w:ascii="Times New Roman" w:hAnsi="Times New Roman" w:cs="Times New Roman"/>
          <w:i w:val="0"/>
          <w:caps w:val="0"/>
          <w:color w:val="333333"/>
          <w:spacing w:val="0"/>
          <w:sz w:val="24"/>
          <w:szCs w:val="24"/>
          <w:bdr w:val="none" w:color="auto" w:sz="0" w:space="0"/>
          <w:shd w:val="clear" w:fill="FFFFFF"/>
        </w:rPr>
        <w:t>23</w:t>
      </w:r>
      <w:r>
        <w:rPr>
          <w:rFonts w:hint="eastAsia" w:ascii="楷体" w:hAnsi="楷体" w:eastAsia="楷体" w:cs="楷体"/>
          <w:i w:val="0"/>
          <w:caps w:val="0"/>
          <w:color w:val="333333"/>
          <w:spacing w:val="0"/>
          <w:sz w:val="24"/>
          <w:szCs w:val="24"/>
          <w:bdr w:val="none" w:color="auto" w:sz="0" w:space="0"/>
          <w:shd w:val="clear" w:fill="FFFFFF"/>
        </w:rPr>
        <w:t>号令修改）</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jc w:val="both"/>
        <w:textAlignment w:val="auto"/>
        <w:rPr>
          <w:rFonts w:hint="default" w:ascii="Calibri" w:hAnsi="Calibri" w:cs="Calibri"/>
          <w:i w:val="0"/>
          <w:caps w:val="0"/>
          <w:color w:val="333333"/>
          <w:spacing w:val="6"/>
          <w:sz w:val="24"/>
          <w:szCs w:val="24"/>
        </w:rPr>
      </w:pPr>
      <w:r>
        <w:rPr>
          <w:rFonts w:hint="default" w:ascii="Times New Roman" w:hAnsi="Times New Roman" w:cs="Times New Roman"/>
          <w:i w:val="0"/>
          <w:caps w:val="0"/>
          <w:color w:val="333333"/>
          <w:spacing w:val="0"/>
          <w:sz w:val="24"/>
          <w:szCs w:val="24"/>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ascii="仿宋" w:hAnsi="仿宋" w:eastAsia="仿宋" w:cs="仿宋"/>
          <w:b/>
          <w:i w:val="0"/>
          <w:caps w:val="0"/>
          <w:color w:val="333333"/>
          <w:spacing w:val="0"/>
          <w:sz w:val="28"/>
          <w:szCs w:val="28"/>
          <w:bdr w:val="none" w:color="auto" w:sz="0" w:space="0"/>
          <w:shd w:val="clear" w:fill="FFFFFF"/>
        </w:rPr>
        <w:t>第一条</w:t>
      </w:r>
      <w:r>
        <w:rPr>
          <w:rFonts w:hint="eastAsia" w:ascii="仿宋" w:hAnsi="仿宋" w:eastAsia="仿宋" w:cs="仿宋"/>
          <w:i w:val="0"/>
          <w:caps w:val="0"/>
          <w:color w:val="333333"/>
          <w:spacing w:val="0"/>
          <w:sz w:val="28"/>
          <w:szCs w:val="28"/>
          <w:bdr w:val="none" w:color="auto" w:sz="0" w:space="0"/>
          <w:shd w:val="clear" w:fill="FFFFFF"/>
        </w:rPr>
        <w:t>  为保护国家利益、社会公共利益和招标投标当事人的合法权益，建立公平、高效的工程建设项目招标投标活动投诉处理机制，根据《中华人民共和国招标投标法》、《中华人民共和国招标投标法实施条例》，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第二条</w:t>
      </w:r>
      <w:r>
        <w:rPr>
          <w:rFonts w:hint="eastAsia" w:ascii="仿宋" w:hAnsi="仿宋" w:eastAsia="仿宋" w:cs="仿宋"/>
          <w:i w:val="0"/>
          <w:caps w:val="0"/>
          <w:color w:val="333333"/>
          <w:spacing w:val="0"/>
          <w:sz w:val="28"/>
          <w:szCs w:val="28"/>
          <w:bdr w:val="none" w:color="auto" w:sz="0" w:space="0"/>
          <w:shd w:val="clear" w:fill="FFFFFF"/>
        </w:rPr>
        <w:t>  本办法适用于工程建设项目招标投标活动的投诉及其处理活动。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前款所称招标投标活动，包括招标、投标、开标、评标、中标以及签订合同等各阶段。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第三条</w:t>
      </w:r>
      <w:r>
        <w:rPr>
          <w:rFonts w:hint="eastAsia" w:ascii="仿宋" w:hAnsi="仿宋" w:eastAsia="仿宋" w:cs="仿宋"/>
          <w:i w:val="0"/>
          <w:caps w:val="0"/>
          <w:color w:val="333333"/>
          <w:spacing w:val="0"/>
          <w:sz w:val="28"/>
          <w:szCs w:val="28"/>
          <w:bdr w:val="none" w:color="auto" w:sz="0" w:space="0"/>
          <w:shd w:val="clear" w:fill="FFFFFF"/>
        </w:rPr>
        <w:t>  投标人或者其他利害关系人认为招标投标活动不符合法律、法规和规章规定的，有权依法向有关行政监督部门投诉。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前款所称其他利害关系人是指投标人以外的，与招标项目或者招标活动有直接和间接利益关系的法人、其他组织和自然人。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第四条</w:t>
      </w:r>
      <w:r>
        <w:rPr>
          <w:rFonts w:hint="eastAsia" w:ascii="仿宋" w:hAnsi="仿宋" w:eastAsia="仿宋" w:cs="仿宋"/>
          <w:i w:val="0"/>
          <w:caps w:val="0"/>
          <w:color w:val="333333"/>
          <w:spacing w:val="0"/>
          <w:sz w:val="28"/>
          <w:szCs w:val="28"/>
          <w:bdr w:val="none" w:color="auto" w:sz="0" w:space="0"/>
          <w:shd w:val="clear" w:fill="FFFFFF"/>
        </w:rPr>
        <w:t>  各级发展改革、工业和信息化、住房城乡建设、水利、交通运输、铁道、商务、民航等招标投标活动行政监督部门，依照《国务院办公厅印发国务院有关部门实施招标投标活动行政监督的职责分工的意见的通知》（国办发［2000］34号）和地方各级人民政府规定的职责分工，受理投诉并依法做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对国家重大建设项目（含工业项目）招标投标活动的投诉，由国家发展改革委受理并依法做出处理决定。对国家重大建设项目招标投标活动的投诉，有关行业行政监督部门已经收到的，应当通报国家发展改革委，国家发展改革委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第五条</w:t>
      </w:r>
      <w:r>
        <w:rPr>
          <w:rFonts w:hint="eastAsia" w:ascii="仿宋" w:hAnsi="仿宋" w:eastAsia="仿宋" w:cs="仿宋"/>
          <w:i w:val="0"/>
          <w:caps w:val="0"/>
          <w:color w:val="333333"/>
          <w:spacing w:val="0"/>
          <w:sz w:val="28"/>
          <w:szCs w:val="28"/>
          <w:bdr w:val="none" w:color="auto" w:sz="0" w:space="0"/>
          <w:shd w:val="clear" w:fill="FFFFFF"/>
        </w:rPr>
        <w:t>  行政监督部门处理投诉时，应当坚持公平、公正、高效原则，维护国家利益、社会公共利益和招标投标当事人的合法权益。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第六条</w:t>
      </w:r>
      <w:r>
        <w:rPr>
          <w:rFonts w:hint="eastAsia" w:ascii="仿宋" w:hAnsi="仿宋" w:eastAsia="仿宋" w:cs="仿宋"/>
          <w:i w:val="0"/>
          <w:caps w:val="0"/>
          <w:color w:val="333333"/>
          <w:spacing w:val="0"/>
          <w:sz w:val="28"/>
          <w:szCs w:val="28"/>
          <w:bdr w:val="none" w:color="auto" w:sz="0" w:space="0"/>
          <w:shd w:val="clear" w:fill="FFFFFF"/>
        </w:rPr>
        <w:t>  行政监督部门应当确定本部门内部负责受理投诉的机构及其电话、传真、电子信箱和通讯地址，并向社会公布。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第七条</w:t>
      </w:r>
      <w:r>
        <w:rPr>
          <w:rFonts w:hint="eastAsia" w:ascii="仿宋" w:hAnsi="仿宋" w:eastAsia="仿宋" w:cs="仿宋"/>
          <w:i w:val="0"/>
          <w:caps w:val="0"/>
          <w:color w:val="333333"/>
          <w:spacing w:val="0"/>
          <w:sz w:val="28"/>
          <w:szCs w:val="28"/>
          <w:bdr w:val="none" w:color="auto" w:sz="0" w:space="0"/>
          <w:shd w:val="clear" w:fill="FFFFFF"/>
        </w:rPr>
        <w:t>  投诉人投诉时，应当提交投诉书。投诉书应当包括下列内容：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（一）投诉人的名称、地址及有效联系方式；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（二）被投诉人的名称、地址及有效联系方式；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（三）投诉事项的基本事实；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（四）相关请求及主张；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（五）有效线索和相关证明材料。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对招标投标法实施条例规定应先提出异议的事项进行投诉的，应当附提出异议的证明文件。已向有关行政监督部门投诉的，应当一并说明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投诉人是法人的，投诉书必须由其法定代表人或者授权代表签字并盖章；其他组织或者自然人投诉的，投诉书必须由其主要负责人或者投诉人本人签字，并附有效身份证明复印件。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投诉书有关材料是外文的，投诉人应当同时提供其中文译本。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第八条</w:t>
      </w:r>
      <w:r>
        <w:rPr>
          <w:rFonts w:hint="eastAsia" w:ascii="仿宋" w:hAnsi="仿宋" w:eastAsia="仿宋" w:cs="仿宋"/>
          <w:i w:val="0"/>
          <w:caps w:val="0"/>
          <w:color w:val="333333"/>
          <w:spacing w:val="0"/>
          <w:sz w:val="28"/>
          <w:szCs w:val="28"/>
          <w:bdr w:val="none" w:color="auto" w:sz="0" w:space="0"/>
          <w:shd w:val="clear" w:fill="FFFFFF"/>
        </w:rPr>
        <w:t>  投诉人不得以投诉为名排挤竞争对手，不得进行虚假、恶意投诉，阻碍招标投标活动的正常进行。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第九条</w:t>
      </w:r>
      <w:r>
        <w:rPr>
          <w:rFonts w:hint="eastAsia" w:ascii="仿宋" w:hAnsi="仿宋" w:eastAsia="仿宋" w:cs="仿宋"/>
          <w:i w:val="0"/>
          <w:caps w:val="0"/>
          <w:color w:val="333333"/>
          <w:spacing w:val="0"/>
          <w:sz w:val="28"/>
          <w:szCs w:val="28"/>
          <w:bdr w:val="none" w:color="auto" w:sz="0" w:space="0"/>
          <w:shd w:val="clear" w:fill="FFFFFF"/>
        </w:rPr>
        <w:t>  投诉人认为招标投标活动不符合法律行政法规规定的，可以在知道或者应当知道之日起十日内提出书面投诉。依照有关行政法规提出异议的，异议答复期间不计算在内。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第十条</w:t>
      </w:r>
      <w:r>
        <w:rPr>
          <w:rFonts w:hint="eastAsia" w:ascii="仿宋" w:hAnsi="仿宋" w:eastAsia="仿宋" w:cs="仿宋"/>
          <w:i w:val="0"/>
          <w:caps w:val="0"/>
          <w:color w:val="333333"/>
          <w:spacing w:val="0"/>
          <w:sz w:val="28"/>
          <w:szCs w:val="28"/>
          <w:bdr w:val="none" w:color="auto" w:sz="0" w:space="0"/>
          <w:shd w:val="clear" w:fill="FFFFFF"/>
        </w:rPr>
        <w:t>  投诉人可以自己直接投诉，也可以委托代理人办理投诉事务。代理人办理投诉事务时，应将授权委托书连同投诉书一并提交给行政监督部门。授权委托书应当明确有关委托代理权限和事项。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第十一条</w:t>
      </w:r>
      <w:r>
        <w:rPr>
          <w:rFonts w:hint="eastAsia" w:ascii="仿宋" w:hAnsi="仿宋" w:eastAsia="仿宋" w:cs="仿宋"/>
          <w:i w:val="0"/>
          <w:caps w:val="0"/>
          <w:color w:val="333333"/>
          <w:spacing w:val="0"/>
          <w:sz w:val="28"/>
          <w:szCs w:val="28"/>
          <w:bdr w:val="none" w:color="auto" w:sz="0" w:space="0"/>
          <w:shd w:val="clear" w:fill="FFFFFF"/>
        </w:rPr>
        <w:t>  行政监督部门收到投诉书后，应当在三个工作日内进行审查，视情况分别做出以下处理决定：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（一）不符合投诉处理条件的，决定不予受理，并将不予受理的理由书面告知投诉人；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（二）对符合投诉处理条件，但不属于本部门受理的投诉，书面告知投诉人向其他行政监督部门提出投诉；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对于符合投诉处理条件并决定受理的，收到投诉书之日即为正式受理。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第十二条</w:t>
      </w:r>
      <w:r>
        <w:rPr>
          <w:rFonts w:hint="eastAsia" w:ascii="仿宋" w:hAnsi="仿宋" w:eastAsia="仿宋" w:cs="仿宋"/>
          <w:i w:val="0"/>
          <w:caps w:val="0"/>
          <w:color w:val="333333"/>
          <w:spacing w:val="0"/>
          <w:sz w:val="28"/>
          <w:szCs w:val="28"/>
          <w:bdr w:val="none" w:color="auto" w:sz="0" w:space="0"/>
          <w:shd w:val="clear" w:fill="FFFFFF"/>
        </w:rPr>
        <w:t>  有下列情形之一的投诉，不予受理：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（一）投诉人不是所投诉招标投标活动的参与者，或者与投诉项目无任何利害关系；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（二）投诉事项不具体，且未提供有效线索，难以查证的；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（三）投诉书未署具投诉人真实姓名、签字和有效联系方式的；以法人名义投诉的，投诉书未经法定代表人签字并加盖公章的；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（四）超过投诉时效的；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（五）已经作出处理决定，并且投诉人没有提出新的证据的；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（六）投诉事项应先提出异议没有提出异议、已进入行政复议或行政诉讼程序的。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第十三条</w:t>
      </w:r>
      <w:r>
        <w:rPr>
          <w:rFonts w:hint="eastAsia" w:ascii="仿宋" w:hAnsi="仿宋" w:eastAsia="仿宋" w:cs="仿宋"/>
          <w:i w:val="0"/>
          <w:caps w:val="0"/>
          <w:color w:val="333333"/>
          <w:spacing w:val="0"/>
          <w:sz w:val="28"/>
          <w:szCs w:val="28"/>
          <w:bdr w:val="none" w:color="auto" w:sz="0" w:space="0"/>
          <w:shd w:val="clear" w:fill="FFFFFF"/>
        </w:rPr>
        <w:t>  行政监督部门负责投诉处理的工作人员，有下列情形之一的，应当主动回避：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（一）近亲属是被投诉人、投诉人，或者是被投诉人、投诉人的主要负责人；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（二）在近三年内本人曾经在被投诉人单位担任高级管理职务；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（三）与被投诉人、投诉人有其他利害关系，可能影响对投诉事项公正处理的。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第十四条</w:t>
      </w:r>
      <w:r>
        <w:rPr>
          <w:rFonts w:hint="eastAsia" w:ascii="仿宋" w:hAnsi="仿宋" w:eastAsia="仿宋" w:cs="仿宋"/>
          <w:i w:val="0"/>
          <w:caps w:val="0"/>
          <w:color w:val="333333"/>
          <w:spacing w:val="0"/>
          <w:sz w:val="28"/>
          <w:szCs w:val="28"/>
          <w:bdr w:val="none" w:color="auto" w:sz="0" w:space="0"/>
          <w:shd w:val="clear" w:fill="FFFFFF"/>
        </w:rPr>
        <w:t>  行政监督部门受理投诉后，应当调取、查阅有关文件，调查、核实有关情况。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对情况复杂、涉及面广的重大投诉事项，有权受理投诉的行政监督部门可以会同其他有关的行政监督部门进行联合调查，共同研究后由受理部门做出处理决定。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第十五条</w:t>
      </w:r>
      <w:r>
        <w:rPr>
          <w:rFonts w:hint="eastAsia" w:ascii="仿宋" w:hAnsi="仿宋" w:eastAsia="仿宋" w:cs="仿宋"/>
          <w:i w:val="0"/>
          <w:caps w:val="0"/>
          <w:color w:val="333333"/>
          <w:spacing w:val="0"/>
          <w:sz w:val="28"/>
          <w:szCs w:val="28"/>
          <w:bdr w:val="none" w:color="auto" w:sz="0" w:space="0"/>
          <w:shd w:val="clear" w:fill="FFFFFF"/>
        </w:rPr>
        <w:t>  行政监督部门调查取证时，应当由两名以上行政执法人员进行，并做笔录，交被调查人签字确认。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第十六条</w:t>
      </w:r>
      <w:r>
        <w:rPr>
          <w:rFonts w:hint="eastAsia" w:ascii="仿宋" w:hAnsi="仿宋" w:eastAsia="仿宋" w:cs="仿宋"/>
          <w:i w:val="0"/>
          <w:caps w:val="0"/>
          <w:color w:val="333333"/>
          <w:spacing w:val="0"/>
          <w:sz w:val="28"/>
          <w:szCs w:val="28"/>
          <w:bdr w:val="none" w:color="auto" w:sz="0" w:space="0"/>
          <w:shd w:val="clear" w:fill="FFFFFF"/>
        </w:rPr>
        <w:t>  在投诉处理过程中，行政监督部门应当听取被投诉人的陈述和申辩，必要时可通知投诉人和被投诉人进行质证。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第十七条</w:t>
      </w:r>
      <w:r>
        <w:rPr>
          <w:rFonts w:hint="eastAsia" w:ascii="仿宋" w:hAnsi="仿宋" w:eastAsia="仿宋" w:cs="仿宋"/>
          <w:i w:val="0"/>
          <w:caps w:val="0"/>
          <w:color w:val="333333"/>
          <w:spacing w:val="0"/>
          <w:sz w:val="28"/>
          <w:szCs w:val="28"/>
          <w:bdr w:val="none" w:color="auto" w:sz="0" w:space="0"/>
          <w:shd w:val="clear" w:fill="FFFFFF"/>
        </w:rPr>
        <w:t>  行政监督部门负责处理投诉的人员应当严格遵守保密规定，对于在投诉处理过程中所接触到的国家秘密、商业秘密应当予以保密，也不得将投诉事项透露给与投诉无关的其他单位和个人。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第十八条</w:t>
      </w:r>
      <w:r>
        <w:rPr>
          <w:rFonts w:hint="eastAsia" w:ascii="仿宋" w:hAnsi="仿宋" w:eastAsia="仿宋" w:cs="仿宋"/>
          <w:i w:val="0"/>
          <w:caps w:val="0"/>
          <w:color w:val="333333"/>
          <w:spacing w:val="0"/>
          <w:sz w:val="28"/>
          <w:szCs w:val="28"/>
          <w:bdr w:val="none" w:color="auto" w:sz="0" w:space="0"/>
          <w:shd w:val="clear" w:fill="FFFFFF"/>
        </w:rPr>
        <w:t>  行政监督部门处理投诉，有权查阅、复制有关文件、资料，调查有关情况，相关单位和人员应当予以配合。必要时，行政监督部门可以责令暂停招标投标活动。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对行政监督部门依法进行的调查，投诉人、被投诉人以及评标委员会成员等与投诉事项有关的当事人应当予以配合，如实提供有关资料及情况，不得拒绝、隐匿或者伪报。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第十九条</w:t>
      </w:r>
      <w:r>
        <w:rPr>
          <w:rFonts w:hint="eastAsia" w:ascii="仿宋" w:hAnsi="仿宋" w:eastAsia="仿宋" w:cs="仿宋"/>
          <w:i w:val="0"/>
          <w:caps w:val="0"/>
          <w:color w:val="333333"/>
          <w:spacing w:val="0"/>
          <w:sz w:val="28"/>
          <w:szCs w:val="28"/>
          <w:bdr w:val="none" w:color="auto" w:sz="0" w:space="0"/>
          <w:shd w:val="clear" w:fill="FFFFFF"/>
        </w:rPr>
        <w:t>  投诉处理决定做出前，投诉人要求撤回投诉的，应当以书面形式提出并说明理由，由行政监督部门视以下情况，决定是否准予撤回：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（一）已经查实有明显违法行为的，应当不准撤回，并继续调查直至做出处理决定；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（二）撤回投诉不损害国家利益、社会公共利益或者其他当事人合法权益的，应当准予撤回，投诉处理过程终止。投诉人不得以同一事实和理由再提出投诉。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第二十条</w:t>
      </w:r>
      <w:r>
        <w:rPr>
          <w:rFonts w:hint="eastAsia" w:ascii="仿宋" w:hAnsi="仿宋" w:eastAsia="仿宋" w:cs="仿宋"/>
          <w:i w:val="0"/>
          <w:caps w:val="0"/>
          <w:color w:val="333333"/>
          <w:spacing w:val="0"/>
          <w:sz w:val="28"/>
          <w:szCs w:val="28"/>
          <w:bdr w:val="none" w:color="auto" w:sz="0" w:space="0"/>
          <w:shd w:val="clear" w:fill="FFFFFF"/>
        </w:rPr>
        <w:t>  行政监督部门应当根据调查和取证情况，对投诉事项进行审查，按照下列规定做出处理决定：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（一）投诉缺乏事实根据或者法律依据的，或者投诉人捏造事实、伪造材料或者以非法手段取得证明材料进行投诉的，驳回投诉；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（二）投诉情况属实，招标投标活动确实存在违法行为的，依据《中华人民共和国招标投标法》、《中华人民共和国招标投标法实施条例》及其他有关法规、规章做出处罚。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第二十一条</w:t>
      </w:r>
      <w:r>
        <w:rPr>
          <w:rFonts w:hint="eastAsia" w:ascii="仿宋" w:hAnsi="仿宋" w:eastAsia="仿宋" w:cs="仿宋"/>
          <w:i w:val="0"/>
          <w:caps w:val="0"/>
          <w:color w:val="333333"/>
          <w:spacing w:val="0"/>
          <w:sz w:val="28"/>
          <w:szCs w:val="28"/>
          <w:bdr w:val="none" w:color="auto" w:sz="0" w:space="0"/>
          <w:shd w:val="clear" w:fill="FFFFFF"/>
        </w:rPr>
        <w:t>  负责受理投诉的行政监督部门应当自受理投诉之日起三十个工作日内，对投诉事项做出处理决定，并以书面形式通知投诉人、被投诉人和其他与投诉处理结果有关的当事人。需要检验、检测、鉴定、专家评审的，所需时间不计算在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第二十二条</w:t>
      </w:r>
      <w:r>
        <w:rPr>
          <w:rFonts w:hint="eastAsia" w:ascii="仿宋" w:hAnsi="仿宋" w:eastAsia="仿宋" w:cs="仿宋"/>
          <w:i w:val="0"/>
          <w:caps w:val="0"/>
          <w:color w:val="333333"/>
          <w:spacing w:val="0"/>
          <w:sz w:val="28"/>
          <w:szCs w:val="28"/>
          <w:bdr w:val="none" w:color="auto" w:sz="0" w:space="0"/>
          <w:shd w:val="clear" w:fill="FFFFFF"/>
        </w:rPr>
        <w:t>  投诉处理决定应当包括下列主要内容：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（一）投诉人和被投诉人的名称、住址；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（二）投诉人的投诉事项及主张；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（三）被投诉人的答辩及请求；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（四）调查认定的基本事实；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（五）行政监督部门的处理意见及依据。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第二十三条</w:t>
      </w:r>
      <w:r>
        <w:rPr>
          <w:rFonts w:hint="eastAsia" w:ascii="仿宋" w:hAnsi="仿宋" w:eastAsia="仿宋" w:cs="仿宋"/>
          <w:i w:val="0"/>
          <w:caps w:val="0"/>
          <w:color w:val="333333"/>
          <w:spacing w:val="0"/>
          <w:sz w:val="28"/>
          <w:szCs w:val="28"/>
          <w:bdr w:val="none" w:color="auto" w:sz="0" w:space="0"/>
          <w:shd w:val="clear" w:fill="FFFFFF"/>
        </w:rPr>
        <w:t>  行政监督部门应当建立投诉处理档案，并做好保存和管理工作，接受有关方面的监督检查。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第二十四条</w:t>
      </w:r>
      <w:r>
        <w:rPr>
          <w:rFonts w:hint="eastAsia" w:ascii="仿宋" w:hAnsi="仿宋" w:eastAsia="仿宋" w:cs="仿宋"/>
          <w:i w:val="0"/>
          <w:caps w:val="0"/>
          <w:color w:val="333333"/>
          <w:spacing w:val="0"/>
          <w:sz w:val="28"/>
          <w:szCs w:val="28"/>
          <w:bdr w:val="none" w:color="auto" w:sz="0" w:space="0"/>
          <w:shd w:val="clear" w:fill="FFFFFF"/>
        </w:rPr>
        <w:t>  行政监督部门在处理投诉过程中，发现被投诉人单位直接负责的主管人员和其他直接责任人员有违法、违规或者违纪行为的，应当建议其行政主管机关、纪检监察部门给予处分；情节严重构成犯罪的，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Calibri" w:hAnsi="Calibri" w:cs="Calibri"/>
          <w:i w:val="0"/>
          <w:caps w:val="0"/>
          <w:color w:val="333333"/>
          <w:spacing w:val="6"/>
          <w:sz w:val="24"/>
          <w:szCs w:val="24"/>
        </w:rPr>
      </w:pPr>
      <w:r>
        <w:rPr>
          <w:rFonts w:hint="eastAsia" w:ascii="仿宋" w:hAnsi="仿宋" w:eastAsia="仿宋" w:cs="仿宋"/>
          <w:i w:val="0"/>
          <w:caps w:val="0"/>
          <w:color w:val="333333"/>
          <w:spacing w:val="0"/>
          <w:sz w:val="28"/>
          <w:szCs w:val="28"/>
          <w:bdr w:val="none" w:color="auto" w:sz="0" w:space="0"/>
          <w:shd w:val="clear" w:fill="FFFFFF"/>
        </w:rPr>
        <w:t>对招标代理机构有违法行为，且情节严重的，依法暂停直至取消招标代理资格。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第二十五条</w:t>
      </w:r>
      <w:r>
        <w:rPr>
          <w:rFonts w:hint="eastAsia" w:ascii="仿宋" w:hAnsi="仿宋" w:eastAsia="仿宋" w:cs="仿宋"/>
          <w:i w:val="0"/>
          <w:caps w:val="0"/>
          <w:color w:val="333333"/>
          <w:spacing w:val="0"/>
          <w:sz w:val="28"/>
          <w:szCs w:val="28"/>
          <w:bdr w:val="none" w:color="auto" w:sz="0" w:space="0"/>
          <w:shd w:val="clear" w:fill="FFFFFF"/>
        </w:rPr>
        <w:t>  当事人对行政监督部门的投诉处理决定不服或者行政监督部门逾期未做处理的，可以依法申请行政复议或者向人民法院提起行政诉讼。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第二十六条</w:t>
      </w:r>
      <w:r>
        <w:rPr>
          <w:rFonts w:hint="eastAsia" w:ascii="仿宋" w:hAnsi="仿宋" w:eastAsia="仿宋" w:cs="仿宋"/>
          <w:i w:val="0"/>
          <w:caps w:val="0"/>
          <w:color w:val="333333"/>
          <w:spacing w:val="0"/>
          <w:sz w:val="28"/>
          <w:szCs w:val="28"/>
          <w:bdr w:val="none" w:color="auto" w:sz="0" w:space="0"/>
          <w:shd w:val="clear" w:fill="FFFFFF"/>
        </w:rPr>
        <w:t>  投诉人故意捏造事实、伪造证明材料或者以非法手段取得证明材料进行投诉，给他人造成损失的，依法承担赔偿责任。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第二十七条</w:t>
      </w:r>
      <w:r>
        <w:rPr>
          <w:rFonts w:hint="eastAsia" w:ascii="仿宋" w:hAnsi="仿宋" w:eastAsia="仿宋" w:cs="仿宋"/>
          <w:i w:val="0"/>
          <w:caps w:val="0"/>
          <w:color w:val="333333"/>
          <w:spacing w:val="0"/>
          <w:sz w:val="28"/>
          <w:szCs w:val="28"/>
          <w:bdr w:val="none" w:color="auto" w:sz="0" w:space="0"/>
          <w:shd w:val="clear" w:fill="FFFFFF"/>
        </w:rPr>
        <w:t>  行政监督部门工作人员在处理投诉过程中徇私舞弊、滥用职权或者玩忽职守，对投诉人打击报复的，依法给予行政处分；构成犯罪的，依法追究刑事责任。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第二十八条</w:t>
      </w:r>
      <w:r>
        <w:rPr>
          <w:rFonts w:hint="eastAsia" w:ascii="仿宋" w:hAnsi="仿宋" w:eastAsia="仿宋" w:cs="仿宋"/>
          <w:i w:val="0"/>
          <w:caps w:val="0"/>
          <w:color w:val="333333"/>
          <w:spacing w:val="0"/>
          <w:sz w:val="28"/>
          <w:szCs w:val="28"/>
          <w:bdr w:val="none" w:color="auto" w:sz="0" w:space="0"/>
          <w:shd w:val="clear" w:fill="FFFFFF"/>
        </w:rPr>
        <w:t>  行政监督部门在处理投诉过程中，不得向投诉人和被投诉人收取任何费用。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第二十九条</w:t>
      </w:r>
      <w:r>
        <w:rPr>
          <w:rFonts w:hint="eastAsia" w:ascii="仿宋" w:hAnsi="仿宋" w:eastAsia="仿宋" w:cs="仿宋"/>
          <w:i w:val="0"/>
          <w:caps w:val="0"/>
          <w:color w:val="333333"/>
          <w:spacing w:val="0"/>
          <w:sz w:val="28"/>
          <w:szCs w:val="28"/>
          <w:bdr w:val="none" w:color="auto" w:sz="0" w:space="0"/>
          <w:shd w:val="clear" w:fill="FFFFFF"/>
        </w:rPr>
        <w:t>  对于性质恶劣、情节严重的投诉事项，行政监督部门可以将投诉处理结果在有关媒体上公布，接受舆论和公众监督。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第三十条</w:t>
      </w:r>
      <w:r>
        <w:rPr>
          <w:rFonts w:hint="eastAsia" w:ascii="仿宋" w:hAnsi="仿宋" w:eastAsia="仿宋" w:cs="仿宋"/>
          <w:i w:val="0"/>
          <w:caps w:val="0"/>
          <w:color w:val="333333"/>
          <w:spacing w:val="0"/>
          <w:sz w:val="28"/>
          <w:szCs w:val="28"/>
          <w:bdr w:val="none" w:color="auto" w:sz="0" w:space="0"/>
          <w:shd w:val="clear" w:fill="FFFFFF"/>
        </w:rPr>
        <w:t>  本办法由国家发展改革委会同国务院有关部门解释。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3"/>
        <w:jc w:val="both"/>
        <w:textAlignment w:val="auto"/>
        <w:rPr>
          <w:rFonts w:hint="default" w:ascii="Calibri" w:hAnsi="Calibri" w:cs="Calibri"/>
          <w:i w:val="0"/>
          <w:caps w:val="0"/>
          <w:color w:val="333333"/>
          <w:spacing w:val="6"/>
          <w:sz w:val="24"/>
          <w:szCs w:val="24"/>
        </w:rPr>
      </w:pPr>
      <w:r>
        <w:rPr>
          <w:rFonts w:hint="eastAsia" w:ascii="仿宋" w:hAnsi="仿宋" w:eastAsia="仿宋" w:cs="仿宋"/>
          <w:b/>
          <w:i w:val="0"/>
          <w:caps w:val="0"/>
          <w:color w:val="333333"/>
          <w:spacing w:val="0"/>
          <w:sz w:val="28"/>
          <w:szCs w:val="28"/>
          <w:bdr w:val="none" w:color="auto" w:sz="0" w:space="0"/>
          <w:shd w:val="clear" w:fill="FFFFFF"/>
        </w:rPr>
        <w:t>第三十一条</w:t>
      </w:r>
      <w:r>
        <w:rPr>
          <w:rFonts w:hint="eastAsia" w:ascii="仿宋" w:hAnsi="仿宋" w:eastAsia="仿宋" w:cs="仿宋"/>
          <w:i w:val="0"/>
          <w:caps w:val="0"/>
          <w:color w:val="333333"/>
          <w:spacing w:val="0"/>
          <w:sz w:val="28"/>
          <w:szCs w:val="28"/>
          <w:bdr w:val="none" w:color="auto" w:sz="0" w:space="0"/>
          <w:shd w:val="clear" w:fill="FFFFFF"/>
        </w:rPr>
        <w:t>  本办法自2004年8月1日起施行。</w:t>
      </w:r>
    </w:p>
    <w:p>
      <w:pPr>
        <w:keepNext w:val="0"/>
        <w:keepLines w:val="0"/>
        <w:pageBreakBefore w:val="0"/>
        <w:kinsoku/>
        <w:wordWrap/>
        <w:overflowPunct/>
        <w:topLinePunct w:val="0"/>
        <w:autoSpaceDE/>
        <w:autoSpaceDN/>
        <w:bidi w:val="0"/>
        <w:adjustRightInd/>
        <w:snapToGrid/>
        <w:spacing w:line="460" w:lineRule="exact"/>
        <w:textAlignment w:val="auto"/>
        <w:rPr>
          <w:sz w:val="20"/>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B00FC"/>
    <w:rsid w:val="522B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2020-11-05T07:45:00Z</dcterms:created>
  <dc:creator>寻</dc:creator>
  <cp:lastModifiedBy>寻</cp:lastModifiedBy>
  <dcterms:modified xsi:type="dcterms:W3CDTF">2020-11-05T07:47:12Z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