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Calibri" w:hAnsi="Calibri" w:cs="Calibri"/>
          <w:i w:val="0"/>
          <w:caps w:val="0"/>
          <w:color w:val="000000" w:themeColor="text1"/>
          <w:spacing w:val="0"/>
          <w:sz w:val="18"/>
          <w:szCs w:val="18"/>
          <w14:textFill>
            <w14:solidFill>
              <w14:schemeClr w14:val="tx1"/>
            </w14:solidFill>
          </w14:textFill>
        </w:rPr>
      </w:pPr>
      <w:r>
        <w:rPr>
          <w:rFonts w:ascii="方正小标宋简体" w:hAnsi="方正小标宋简体" w:eastAsia="方正小标宋简体" w:cs="方正小标宋简体"/>
          <w:i w:val="0"/>
          <w:caps w:val="0"/>
          <w:color w:val="000000" w:themeColor="text1"/>
          <w:spacing w:val="0"/>
          <w:sz w:val="36"/>
          <w:szCs w:val="36"/>
          <w:bdr w:val="none" w:color="auto" w:sz="0" w:space="0"/>
          <w:shd w:val="clear" w:fill="FFFFFF"/>
          <w14:textFill>
            <w14:solidFill>
              <w14:schemeClr w14:val="tx1"/>
            </w14:solidFill>
          </w14:textFill>
        </w:rPr>
        <w:t>中华人民共和国土地管理法实施条例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pPr>
      <w:r>
        <w:rPr>
          <w:rFonts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t>（</w:t>
      </w:r>
      <w:r>
        <w:rPr>
          <w:rFonts w:hint="eastAsia"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t>1998年12月27日国务院令第256号发布 根据2011年01月08日《国务院关于废止和修改部分行政法规的决定》第一次修订 根据2014年07月29日《国务院关于修改部分行政法规的决定》第二次修订）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default" w:ascii="楷体" w:hAnsi="楷体" w:eastAsia="楷体" w:cs="楷体"/>
          <w:i w:val="0"/>
          <w:caps w:val="0"/>
          <w:color w:val="000000" w:themeColor="text1"/>
          <w:spacing w:val="0"/>
          <w:sz w:val="22"/>
          <w:szCs w:val="22"/>
          <w:bdr w:val="none" w:color="auto" w:sz="0" w:space="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第一章</w:t>
      </w:r>
      <w:r>
        <w:rPr>
          <w:rFonts w:hint="eastAsia" w:ascii="宋体" w:hAnsi="宋体" w:eastAsia="宋体" w:cs="宋体"/>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第一条</w:t>
      </w: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根据《中华人民共和国土地管理法》（以下简称《土地管理法》），制定本条例。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第二章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土地的所有权和使用权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下列土地属于全民所有即国家所有：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（一）城市市区的土地；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（二）农村和城市郊区中已经依法没收、征收、征购为国有的土地；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（三）国家依法征收的土地；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（四）依法不属于集体所有的林地、草地、荒地、滩涂及其他土地；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（五）农村集体经济组织全部成员转为城镇居民的，原属于其成员集体所有的土地；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（六）因国家组织移民、自然灾害等原因，农民成建制地集体迁移后不再使用的原属于迁移农民集体所有的土地。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国家依法实行土地登记发证制度。依法登记的土地所有权和土地使用权受法律保护，任何单位和个人不得侵犯。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土地登记内容和土地权属证书式样由国务院土地行政主管部门统一规定。</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土地登记资料可以公开查询。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确认林地、草原的所有权或者使用权，确认水面、滩涂的养殖使用权，分别依照《森林法》、《草原法》和《渔业法》的有关规定办理。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农民集体所有的土地，由土地所有者向土地所在地的县级人民政府土地行政主管部门提出土地登记申请，由县级人民政府登记造册，核发集体土地所有权证书，确认所有权。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农民集体所有的土地依法用于非农业建设的，由土地使用者向土地所在地的县级人民政府土地行政主管部门提出土地登记申请，由县级人民政府登记造册，核发集体土地使用权证书，确认建设用地使用权。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设区的市人民政府可以对市辖区内农民集体所有的土地实行统一登记。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单位和个人依法使用的国有土地，由土地使用者向土地所在地的县级以上人民政府土地行政主管部门提出土地登记申请，由县级以上人民政府登记造册，核发国有土地使用权证书，确认使用权。其中，中央国家机关使用的国有土地的登记发证，由国务院土地行政主管部门负责，具体登记发证办法由国务院土地行政主管部门会同国务院机关事务管理局等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未确定使用权的国有土地，由县级以上人民政府登记造册，负责保护管理。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依法改变土地用途的，必须持批准文件，向土地所在地的县级以上人民政府土地行政主管部门提出土地变更登记申请，由原土地登记机关依法进行变更登记。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依照《土地管理法》的有关规定，收回用地单位的土地使用权的，由原土地登记机关注销土地登记。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土地使用权有偿使用合同约定的使用期限届满，土地使用者未申请续期或者虽申请续期未获批准的，由原土地登记机关注销土地登记。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第三章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土地利用总体规划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全国土地利用总体规划，由国务院土地行政主管部门会同国务院有关部门编制，报国务院批准。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省、自治区、直辖市的土地利用总体规划，由省、自治区、直辖市人民政府组织本级土地行政主管部门和其他有关部门编制，报国务院批准。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省、自治区人民政府所在地的市、人口在100万以上的城市以及国务院指定的城市的土地利用总体规划，由各该市人民政府组织本级土地行政主管部门和其他有关部门编制，经省、自治区人民政府审查同意后，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本条第一款、第二款、第三款规定以外的土地利用总体规划，由有关人民政府组织本级土地行政主管部门和其他有关部门编制，逐级上报省、自治区、直辖市人民政府批准；其中，乡（镇）土地利用总体规划，由乡（镇）人民政府编制，逐级上报省、自治区、直辖市人民政府或者省、自治区、直辖市人民政府授权的设区的市、自治州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土地利用总体规划的规划期限一般为15年。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依照《土地管理法》规定，土地利用总体规划应当将土地划分为农用地、建设用地和未利用地。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县级和乡（镇）土地利用总体规划应当根据需要，划定基本农田保护区、土地开垦区、建设用地区和禁止开垦区等；其中，乡（镇）土地利用总体规划还应当根据土地使用条件，确定每一块土地的用途。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土地分类和划定土地利用区的具体办法，由国务院土地行政主管部门会同国务院有关部门制定。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乡（镇）土地利用总体规划经依法批准后，乡（镇）人民政府应当在本行政区域内予以公告。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公告应当包括下列内容：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（一）规划目标；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（二）规划期限；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（三）规划范围；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（四）地块用途；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（五）批准机关和批准日期。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依照《土地管理法》第二十六条第二款、第三款规定修改土地利用总体规划的，由原编制机关根据国务院或者省、自治区、直辖市人民政府的批准文件修改。修改后的土地利用总体规划应当报原批准机关批准。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上一级土地利用总体规划修改后，涉及修改下一级土地利用总体规划的，由上一级人民政府通知下一级人民政府作出相应修改，并报原批准机关备案。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各级人民政府应当加强土地利用年度计划管理，实行建设用地总量控制。土地利用年度计划一经批准下达，必须严格执行。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土地利用年度计划应当包括下列内容：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（一）农用地转用计划指标；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（二）耕地保有量计划指标；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（三）土地开发整理计划指标。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县级以上人民政府土地行政主管部门应当会同同级有关部门进行土地调查。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土地调查应当包括下列内容：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（一）土地权属；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（二）土地利用现状；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（三）土地条件。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地方土地利用现状调查结果，经本级人民政府审核，报上一级人民政府批准后，应当向社会公布；全国土地利用现状调查结果，报国务院批准后，应当向社会公布。土地调查规程，由国务院土地行政主管部门会同国务院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国务院土地行政主管部门会同国务院有关部门制定土地等级评定标准。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级以上人民政府土地行政主管部门应当会同同级有关部门根据土地等级评定标准，对土地等级进行评定。地方土地等级评定结果，经本级人民政府审核，报上一级人民政府土地行政主管部门批准后，应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根据国民经济和社会发展状况，土地等级每６年调整１次。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第四章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耕地保护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禁止单位和个人在土地利用总体规划确定的禁止开垦区内从事土地开发活动。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开发未确定土地使用权的国有荒山、荒地、荒滩从事种植业、林业、畜牧业或者渔业生产的，经县级以上地方人民政府依法批准，可以确定给开发单位或者个人长期使用，使用期限最长不得超过50年。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县、乡（镇）人民政府应当按照土地利用总体规划，组织农村集体经济组织制定土地整理方案，并组织实施。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地方各级人民政府应当采取措施，按照土地利用总体规划推进土地整理。土地整理新增耕地面积的百分之六十可以用作折抵建设占用耕地的补偿指标。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土地整理所需费用，按照谁受益谁负担的原则，由农村集体经济组织和土地使用者共同承担。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第五章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占用土地，涉及农用地转为建设用地的，应当符合土地利用总体规划和土地利用年度计划中确定的农用地转用指标；城市和村庄、集镇建设占用土地，涉及农用地转用的，还应当符合城市规划和村庄、集镇规划。不符合规定的，不得批准农用地转为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在土地利用总体规划确定的城市建设用地范围内，为实施城市规划占用土地的，按照下列规定办理：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（一）市、县人民政府按照土地利用年度计划拟订农用地转用方案、补充耕地方案、征收土地方案，分批次逐级上报有批准权的人民政府。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有批准权的人民政府土地行政主管部门对农用地转用方案、补充耕地方案、征收土地方案进行审查，提出审查意见，报有批准权的人民政府批准；其中，补充耕地方案由批准农用地转用方案的人民政府在批准农用地转用方案时一并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（三）农用地转用方案、补充耕地方案、征收土地方案经批准后，由市、县人民政府组织实施，按具体建设项目分别供地。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在土地利用总体规划确定的村庄、集镇建设用地范围内，为实施村庄、集镇规划占用土地的，由市、县人民政府拟订农用地转用方案、补充耕地方案，依照前款规定的程序办理。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具体建设项目需要使用土地的，建设单位应当根据建设项目的总体设计一次申请，办理建设用地审批手续；分期建设的项目，可以根据可行性研究报告确定的方案分期申请建设用地，分期办理建设用地有关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具体建设项目需要占用土地利用总体规划确定的城市建设用地范围内的国有建设用地的，按照下列规定办理：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（一）建设项目可行性研究论证时，由土地行政主管部门对建设项目用地有关事项进行审查，提出建设项目用地预审报告；可行性研究报告报批时，必须附具土地行政主管部门出具的建设项目用地预审报告。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（四）土地使用者应当依法申请土地登记。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（一）建设项目可行性研究论证时，由土地行政主管部门对建设项目用地有关事项进行审查，提出建设项目用地预审报告；可行性研究报告报批时，必须附具土地行政主管部门出具的建设项目用地预审报告。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建设单位持建设项目的有关批准文件，向市、县人民政府土地行政主管部门提出建设用地申请，由市、县人民政府土地行政主管部门审查，拟订农用地转用方案、补充耕地方案、征收土地方案和供地方案（涉及国有农用地的，不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（四）土地使用者应当依法申请土地登记。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建设项目确需使用土地利用总体规划确定的城市建设用地范围外的土地，涉及农民集体所有的未利用地的，只报批征收土地方案和供地方案。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具体建设项目需要占用土地利用总体规划确定的国有未利用地的，按照省、自治区、直辖市的规定办理；但是，国家重点建设项目、军事设施和跨省、自治区、直辖市行政区域的建设项目以及国务院规定的其他建设项目用地，应当报国务院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被征收土地的所有权人、使用权人应当在公告规定的期限内，持土地权属证书到公告指定的人民政府土地行政主管部门办理征地补偿登记。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征收土地的各项费用应当自征地补偿、安置方案批准之日起３个月内全额支付。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土地补偿费归农村集体经济组织所有；地上附着物及青苗补偿费归地上附着物及青苗的所有者所有。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征收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市、县和乡（镇）人民政府应当加强对安置补助费使用情况的监督。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抢险救灾等急需使用土地的，可以先行使用土地。其中，属于临时用地的，灾后应当恢复原状并交还原土地使用者使用，不再办理用地审批手续；属于永久性建设用地的，建设单位应当在灾情结束后６个月内申请补办建设用地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建设项目施工和地质勘查需要临时占用耕地的，土地使用者应当自临时用地期满之日起１年内恢复种植条件。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第二十九条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国有土地有偿使用的方式包括：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（一）国有土地使用权出让；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（二）国有土地租赁；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（三）国有土地使用权作价出资或者入股。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《土地管理法》第五十五条规定的新增建设用地的土地有偿使用费，是指国家在新增建设用地中应取得的平均土地纯收益。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第六章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土地管理监督检查人员应当经过培训，经考核合格后，方可从事土地管理监督检查工作。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土地行政主管部门履行监督检查职责，除采取《土地管理法》第六十七条规定的措施外，还可以采取下列措施：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（一）询问违法案件的当事人、嫌疑人和证人；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（二）进入被检查单位或者个人非法占用的土地现场进行拍照、摄像；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（三）责令当事人停止正在进行的土地违法行为；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（四）对涉嫌土地违法的单位或者个人，停止办理有关土地审批、登记手续；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（五）责令违法嫌疑人在调查期间不得变卖、转移与案件有关的财物。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七十二条规定给予行政处分的，由责令作出行政处罚决定或者直接给予行政处罚决定的上级人民政府土地行政主管部门作出。对于警告、记过、记大过的行政处分决定，上级土地行政主管部门可以直接作出；对于降级、撤职、开除的行政处分决定，上级土地行政主管部门应当按照国家有关人事管理权限和处理程序的规定，向有关机关提出行政处分建议，由有关机关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第七章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违反本条例第十七条的规定，在土地利用总体规划确定的禁止开垦区内进行开垦的，由县级以上人民政府土地行政主管部门责令限期改正；逾期不改正的，依照《土地管理法》第七十六条的规定处罚。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在临时使用的土地上修建永久性建筑物、构筑物的，由县级以上人民政府土地行政主管部门责令限期拆除；逾期不拆除的，由作出处罚决定的机关依法申请人民法院强制执行。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第三十七条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阻碍土地行政主管部门的工作人员依法执行职务的，依法给予治安管理处罚或者追究刑事责任。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第三十八条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依照《土地管理法》第七十三条的规定处以罚款的，罚款额为非法所得的百分之五十以下。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第三十九条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依照《土地管理法》第八十一条的规定处以罚款的，罚款额为非法所得的百分之五以上百分之二十以下。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依照《土地管理法》第七十四条的规定处以罚款的，罚款额为耕地开垦费的２倍以下。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第四十一条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依照《土地管理法》第七十五条的规定处以罚款的，罚款额为土地复垦费的２倍以下。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第四十二条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依照《土地管理法》第七十六条的规定处以罚款的，罚款额为非法占用土地每平方米30元以下。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第四十三条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依照《土地管理法》第八十条的规定处以罚款的，罚款额为非法占用土地每平方米10元以上30元以下。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第四十四条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违反本条例第二十八条的规定，逾期不恢复种植条件的，由县级以上人民政府土地行政主管部门责令限期改正，可以处耕地复垦费2倍以下的罚款。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第四十五条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违反土地管理法律、法规规定，阻挠国家建设征收土地的，由县级以上人民政府土地行政主管部门责令交出土地；拒不交出土地的，申请人民法院强制执行。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第八章</w:t>
      </w:r>
      <w:r>
        <w:rPr>
          <w:rFonts w:hint="default" w:ascii="Calibri" w:hAnsi="Calibri" w:cs="Calibri"/>
          <w:i w:val="0"/>
          <w:caps w:val="0"/>
          <w:color w:val="000000" w:themeColor="text1"/>
          <w:spacing w:val="0"/>
          <w:sz w:val="24"/>
          <w:szCs w:val="24"/>
          <w:bdr w:val="none" w:color="auto" w:sz="0" w:space="0"/>
          <w:shd w:val="clear" w:fill="FFFFFF"/>
          <w14:textFill>
            <w14:solidFill>
              <w14:schemeClr w14:val="tx1"/>
            </w14:solidFill>
          </w14:textFill>
        </w:rPr>
        <w:t> </w:t>
      </w:r>
      <w:r>
        <w:rPr>
          <w:rFonts w:hint="eastAsia" w:ascii="黑体" w:hAnsi="宋体" w:eastAsia="黑体" w:cs="黑体"/>
          <w:i w:val="0"/>
          <w:caps w:val="0"/>
          <w:color w:val="000000" w:themeColor="text1"/>
          <w:spacing w:val="0"/>
          <w:sz w:val="24"/>
          <w:szCs w:val="24"/>
          <w:bdr w:val="none" w:color="auto" w:sz="0" w:space="0"/>
          <w:shd w:val="clear" w:fill="FFFFFF"/>
          <w14:textFill>
            <w14:solidFill>
              <w14:schemeClr w14:val="tx1"/>
            </w14:solidFill>
          </w14:textFill>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Calibri" w:hAnsi="Calibri" w:cs="Calibri"/>
          <w:i w:val="0"/>
          <w:caps w:val="0"/>
          <w:color w:val="000000" w:themeColor="text1"/>
          <w:spacing w:val="0"/>
          <w:sz w:val="18"/>
          <w:szCs w:val="18"/>
          <w14:textFill>
            <w14:solidFill>
              <w14:schemeClr w14:val="tx1"/>
            </w14:solidFill>
          </w14:textFill>
        </w:rPr>
      </w:pPr>
      <w:r>
        <w:rPr>
          <w:rFonts w:hint="eastAsia" w:ascii="仿宋" w:hAnsi="仿宋" w:eastAsia="仿宋" w:cs="仿宋"/>
          <w:b/>
          <w:i w:val="0"/>
          <w:caps w:val="0"/>
          <w:color w:val="000000" w:themeColor="text1"/>
          <w:spacing w:val="0"/>
          <w:sz w:val="24"/>
          <w:szCs w:val="24"/>
          <w:bdr w:val="none" w:color="auto" w:sz="0" w:space="0"/>
          <w:shd w:val="clear" w:fill="FFFFFF"/>
          <w14:textFill>
            <w14:solidFill>
              <w14:schemeClr w14:val="tx1"/>
            </w14:solidFill>
          </w14:textFill>
        </w:rPr>
        <w:t>第四十六条  </w:t>
      </w:r>
      <w:r>
        <w:rPr>
          <w:rFonts w:hint="eastAsia" w:ascii="仿宋" w:hAnsi="仿宋" w:eastAsia="仿宋" w:cs="仿宋"/>
          <w:i w:val="0"/>
          <w:caps w:val="0"/>
          <w:color w:val="000000" w:themeColor="text1"/>
          <w:spacing w:val="0"/>
          <w:sz w:val="24"/>
          <w:szCs w:val="24"/>
          <w:bdr w:val="none" w:color="auto" w:sz="0" w:space="0"/>
          <w:shd w:val="clear" w:fill="FFFFFF"/>
          <w14:textFill>
            <w14:solidFill>
              <w14:schemeClr w14:val="tx1"/>
            </w14:solidFill>
          </w14:textFill>
        </w:rPr>
        <w:t>本条例自1999年1月1日起施行。1991年1月4日国务院发布的《中华人民共和国土地管理法实施条例》同时废止。</w:t>
      </w:r>
    </w:p>
    <w:p>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18"/>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E4148"/>
    <w:rsid w:val="4A7E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2020-11-05T08:14:00Z</dcterms:created>
  <dc:creator>寻</dc:creator>
  <cp:lastModifiedBy>寻</cp:lastModifiedBy>
  <dcterms:modified xsi:type="dcterms:W3CDTF">2020-11-05T08:15:24Z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