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ascii="方正小标宋简体" w:hAnsi="方正小标宋简体" w:eastAsia="方正小标宋简体" w:cs="方正小标宋简体"/>
          <w:i w:val="0"/>
          <w:caps w:val="0"/>
          <w:color w:val="000000" w:themeColor="text1"/>
          <w:spacing w:val="0"/>
          <w:sz w:val="36"/>
          <w:szCs w:val="36"/>
          <w:bdr w:val="none" w:color="auto" w:sz="0" w:space="0"/>
          <w:shd w:val="clear" w:fill="FFFFFF"/>
          <w14:textFill>
            <w14:solidFill>
              <w14:schemeClr w14:val="tx1"/>
            </w14:solidFill>
          </w14:textFill>
        </w:rPr>
      </w:pPr>
      <w:r>
        <w:rPr>
          <w:rFonts w:ascii="方正小标宋简体" w:hAnsi="方正小标宋简体" w:eastAsia="方正小标宋简体" w:cs="方正小标宋简体"/>
          <w:i w:val="0"/>
          <w:caps w:val="0"/>
          <w:color w:val="000000" w:themeColor="text1"/>
          <w:spacing w:val="0"/>
          <w:sz w:val="36"/>
          <w:szCs w:val="36"/>
          <w:bdr w:val="none" w:color="auto" w:sz="0" w:space="0"/>
          <w:shd w:val="clear" w:fill="FFFFFF"/>
          <w14:textFill>
            <w14:solidFill>
              <w14:schemeClr w14:val="tx1"/>
            </w14:solidFill>
          </w14:textFill>
        </w:rPr>
        <w:t>中华人民共和国土地管理法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方正小标宋简体" w:hAnsi="方正小标宋简体" w:eastAsia="方正小标宋简体" w:cs="方正小标宋简体"/>
          <w:i w:val="0"/>
          <w:caps w:val="0"/>
          <w:color w:val="000000" w:themeColor="text1"/>
          <w:spacing w:val="0"/>
          <w:sz w:val="11"/>
          <w:szCs w:val="11"/>
          <w:bdr w:val="none" w:color="auto" w:sz="0" w:space="0"/>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ascii="楷体" w:hAnsi="楷体" w:eastAsia="楷体" w:cs="楷体"/>
          <w:i w:val="0"/>
          <w:caps w:val="0"/>
          <w:color w:val="000000" w:themeColor="text1"/>
          <w:spacing w:val="0"/>
          <w:sz w:val="22"/>
          <w:szCs w:val="22"/>
          <w:bdr w:val="none" w:color="auto" w:sz="0" w:space="0"/>
          <w:shd w:val="clear" w:fill="FFFFFF"/>
          <w14:textFill>
            <w14:solidFill>
              <w14:schemeClr w14:val="tx1"/>
            </w14:solidFill>
          </w14:textFill>
        </w:rPr>
        <w:t>（</w:t>
      </w:r>
      <w:r>
        <w:rPr>
          <w:rFonts w:hint="eastAsia" w:ascii="楷体" w:hAnsi="楷体" w:eastAsia="楷体" w:cs="楷体"/>
          <w:i w:val="0"/>
          <w:caps w:val="0"/>
          <w:color w:val="000000" w:themeColor="text1"/>
          <w:spacing w:val="0"/>
          <w:sz w:val="22"/>
          <w:szCs w:val="22"/>
          <w:bdr w:val="none" w:color="auto" w:sz="0" w:space="0"/>
          <w:shd w:val="clear" w:fill="FFFFFF"/>
          <w14:textFill>
            <w14:solidFill>
              <w14:schemeClr w14:val="tx1"/>
            </w14:solidFill>
          </w14:textFill>
        </w:rPr>
        <w:t>1986年6月25日第六届全国人民代表大会常务委员会第十六次会议通过 根据1988年12月29日第七届全国人民代表大会常务委员会第五次会议《关于修改〈中华人民共和国土地管理法〉的决定》第一次修正1998年8月29日第九届全国人民代表大会常务委员会第四次会议修订 根据2004年8月28日第十届全国人民代表大会常务委员会第十一次会议《关于修改〈中华人民共和国土地管理法〉的决定》第二次修正）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目 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第二章 土地的所有权和使用权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第三章 土地利用总体规划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第四章 耕地保护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第五章 建设用地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第六章 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第七章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第八章 附则</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第一条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为了加强土地管理，维护土地的社会主义公有制，保护、开发土地资源，合理利用土地，切实保护耕地，促进社会经济的可持续发展，根据宪法，制定本法。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中华人民共和国实行土地的社会主义公有制，即全民所有制和劳动群众集体所有制。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全民所有，即国家所有土地的所有权由国务院代表国家行使。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任何单位和个人不得侵占、买卖或者以其他形式非法转让土地。土地使用权可以依法转让。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国家为了公共利益的需要，可以依法对土地实行征收或者征用并给予补偿。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国家依法实行国有土地有偿使用制度。但是，国家在法律规定的范围内划拨国有土地使用权的除外。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十分珍惜、合理利用土地和切实保护耕地是我国的基本国策。各级人民政府应当采取措施，全面规划，严格管理，保护、开发土地资源，制止非法占用土地的行为。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国家实行土地用途管制制度。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国家编制土地利用总体规划，规定土地用途，将土地分为农用地、建设用地和未利用地。严格限制农用地转为建设用地，控制建设用地总量，对耕地实行特殊保护。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使用土地的单位和个人必须严格按照土地利用总体规划确定的用途使用土地。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国务院土地行政主管部门统一负责全国土地的管理和监督工作。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县级以上地方人民政府土地行政主管部门的设置及其职责，由省、自治区、直辖市人民政府根据国务院有关规定确定。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第六条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任何单位和个人都有遵守土地管理法律、法规的义务，并有权对违反土地管理法律、法规的行为提出检举和控告。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第七条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在保护和开发土地资源、合理利用土地以及进行有关的科学研究等方面成绩显著的单位和个人，由人民政府给予奖励。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第二章  土地的所有权和使用权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第八条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城市市区的土地属于国家所有。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农村和城市郊区的土地，除由法律规定属于国家所有的以外，属于农民集体所有；宅基地和自留地、自留山，属于农民集体所有。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第九条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国有土地和农民集体所有的土地，可以依法确定给单位或者个人使用。使用土地的单位和个人，有保护、管理和合理利用土地的义务。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第十一条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农民集体所有的土地，由县级人民政府登记造册，核发证书，确认所有权。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农民集体所有的土地依法用于非农业建设的，由县级人民政府登记造册，核发证书，确认建设用地使用权。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单位和个人依法使用的国有土地，由县级以上人民政府登记造册，核发证书，确认使用权；其中，中央国家机关使用的国有土地的具体登记发证机关，由国务院确定。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确认林地、草原的所有权或者使用权，确认水面、滩涂的养殖使用权，分别依照《中华人民共和国森林法》、《中华人民共和国草原法》和《中华人民共和国渔业法》的有关规定办理。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第十二条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依法改变土地权属和用途的，应当办理土地变更登记手续。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第十三条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依法登记的土地的所有权和使用权受法律保护，任何单位和个人不得侵犯。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第十四条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民集体所有的土地由本集体经济组织的成员承包经营，从事种植业、林业、畜牧业、渔业生产。土地承包经营期限为三十年。发包方和承包方应当订立承包合同，约定双方的权利和义务。承包经营土地的农民有保护和按照承包合同约定的用途合理利用土地的义务。农民的土地承包经营权受法律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在土地承包经营期限内，对个别承包经营者之间承包的土地进行适当调整的，必须经村民会议三分之二以上成员或者三分之二以上村民代表的同意，并报乡（镇）人民政府和县级人民政府农业行政主管部门批准。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第十五条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有土地可以由单位或者个人承包经营，从事种植业、林业、畜牧业、渔业生产。农民集体所有的土地，可以由本集体经济组织以外的单位或者个人承包经营，从事种植业、林业、畜牧业、渔业生产。发包方和承包方应当订立承包合同，约定双方的权利和义务。土地承包经营的期限由承包合同约定。承包经营土地的单位和个人，有保护和按照承包合同约定的用途合理利用土地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农民集体所有的土地由本集体经济组织以外的单位或者个人承包经营的，必须经村民会议三分之二以上成员或者三分之二以上村民代表的同意，并报乡（镇）人民政府批准。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第十六条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土地所有权和使用权争议，由当事人协商解决；协商不成的，由人民政府处理。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单位之间的争议，由县级以上人民政府处理；个人之间、个人与单位之间的争议，由乡级人民政府或者县级以上人民政府处理。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当事人对有关人民政府的处理决定不服的，可以自接到处理决定通知之日起三十日内，向人民法院起诉。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在土地所有权和使用权争议解决前，任何一方不得改变土地利用现状。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第三章  土地利用总体规划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第十七条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各级人民政府应当依据国民经济和社会发展规划、国土整治和资源环境保护的要求、土地供给能力以及各项建设对土地的需求，组织编制土地利用总体规划。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土地利用总体规划的规划期限由国务院规定。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第十八条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下级土地利用总体规划应当依据上一级土地利用总体规划编制。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地方各级人民政府编制的土地利用总体规划中的建设用地总量不得超过上一级土地利用总体规划确定的控制指标，耕地保有量不得低于上一级土地利用总体规划确定的控制指标。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省、自治区、直辖市人民政府编制的土地利用总体规划，应当确保本行政区域内耕地总量不减少。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第十九条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土地利用总体规划按照下列原则编制：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（一）严格保护基本农田，控制非农业建设占用农用地；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（二）提高土地利用率；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（三）统筹安排各类、各区域用地；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（四）保护和改善生态环境，保障土地的可持续利用；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（五）占用耕地与开发复垦耕地相平衡。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县级土地利用总体规划应当划分土地利用区，明确土地用途。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乡（镇）土地利用总体规划应当划分土地利用区，根据土地使用条件，确定每一块土地的用途，并予以公告。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第二十一条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土地利用总体规划实行分级审批。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省、自治区、直辖市的土地利用总体规划，报国务院批准。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省、自治区人民政府所在地的市、人口在一百万以上的城市以及国务院指定的城市的土地利用总体规划，经省、自治区人民政府审查同意后，报国务院批准。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本条第二款、第三款规定以外的土地利用总体规划，逐级上报省、自治区、直辖市人民政府批准；其中，乡（镇）土地利用总体规划可以由省级人民政府授权的设区的市、自治州人民政府批准。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土地利用总体规划一经批准，必须严格执行。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第二十二条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城市建设用地规模应当符合国家规定的标准，充分利用现有建设用地，不占或者尽量少占农用地。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城市总体规划、村庄和集镇规划，应当与土地利用总体规划相衔接，城市总体规划、村庄和集镇规划中建设用地规模不得超过土地利用总体规划确定的城市和村庄、集镇建设用地规模。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在城市规划区内、村庄和集镇规划区内，城市和村庄、集镇建设用地应当符合城市规划、村庄和集镇规划。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第二十三条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第二十四条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各级人民政府应当加强土地利用计划管理，实行建设用地总量控制。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利用年度计划，根据国民经济和社会发展计划、国家产业政策、土地利用总体规划以及建设用地和土地利用的实际状况编制。土地利用年度计划的编制审批程序与土地利用总体规划的编制审批程序相同，一经审批下达，必须严格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第二十五条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省、自治区、直辖市人民政府应当将土地利用年度计划的执行情况列为国民经济和社会发展计划执行情况的内容，向同级人民代表大会报告。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第二十六条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经批准的土地利用总体规划的修改，须经原批准机关批准；未经批准，不得改变土地利用总体规划确定的土地用途。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经国务院批准的大型能源、交通、水利等基础设施建设用地，需要改变土地利用总体规划的，根据国务院的批准文件修改土地利用总体规划。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第二十七条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国家建立土地调查制度。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县级以上人民政府土地行政主管部门会同同级有关部门进行土地调查。土地所有者或者使用者应当配合调查，并提供有关资料。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第二十八条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县级以上人民政府土地行政主管部门会同同级有关部门根据土地调查成果、规划土地用途和国家制定的统一标准，评定土地等级。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第二十九条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国家建立土地统计制度。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县级以上人民政府土地行政主管部门和同级统计部门共同制定统计调查方案，依法进行土地统计，定期发布土地统计资料。土地所有者或者使用者应当提供有关资料，不得虚报、瞒报、拒报、迟报。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土地行政主管部门和统计部门共同发布的土地面积统计资料是各级人民政府编制土地利用总体规划的依据。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国家建立全国土地管理信息系统，对土地利用状况进行动态监测。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第四章  耕地保护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第三十一条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国家保护耕地，严格控制耕地转为非耕地。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省、自治区、直辖市人民政府应当制定开垦耕地计划，监督占用耕地的单位按照计划开垦耕地或者按照计划组织开垦耕地，并进行验收。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第三十二条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县级以上地方人民政府可以要求占用耕地的单位将所占用耕地耕作层的土壤用于新开垦耕地、劣质地或者其他耕地的土壤改良。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第三十三条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省、自治区、直辖市人民政府应当严格执行土地利用总体规划和土地利用年度计划，采取措施，确保本行政区域内耕地总量不减少；耕地总量减少的，由国务院责令在规定期限内组织开垦与所减少耕地的数量与质量相当的耕地，并由国务院土地行政主管部门会同农业行政主管部门验收。个别省、直辖市确因土地后备资源匮乏，新增建设用地后，新开垦耕地的数量不足以补偿所占用耕地的数量的，必须报经国务院批准减免本行政区域内开垦耕地的数量，进行易地开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第三十四条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国家实行基本农田保护制度。下列耕地应当根据土地利用总体规划划入基本农田保护区，严格管理：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（一）经国务院有关主管部门或者县级以上地方人民政府批准确定的粮、棉、油生产基地内的耕地；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（二）有良好的水利与水土保持设施的耕地，正在实施改造计划以及可以改造的中、低产田；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（三）蔬菜生产基地；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（四）农业科研、教学试验田；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（五）国务院规定应当划入基本农田保护区的其他耕地。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各省、自治区、直辖市划定的基本农田应当占本行政区域内耕地的百分之八十以上。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基本农田保护区以乡（镇）为单位进行划区定界，由县级人民政府土地行政主管部门会同同级农业行政主管部门组织实施。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第三十五条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各级人民政府应当采取措施，维护排灌工程设施，改良土壤，提高地力，防止土地荒漠化、盐渍化、水土流失和污染土地。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第三十六条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非农业建设必须节约使用土地，可以利用荒地的，不得占用耕地；可以利用劣地的，不得占用好地。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禁止占用耕地建窑、建坟或者擅自在耕地上建房、挖砂、采石、采矿、取土等。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禁止占用基本农田发展林果业和挖塘养鱼。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第三十七条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在城市规划区范围内，以出让方式取得土地使用权进行房地产开发的闲置土地，依照《中华人民共和国城市房地产管理法》的有关规定办理。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承包经营耕地的单位或者个人连续二年弃耕抛荒的，原发包单位应当终止承包合同，收回发包的耕地。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第三十八条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国家鼓励单位和个人按照土地利用总体规划，在保护和改善生态环境、防止水土流失和土地荒漠化的前提下，开发未利用的土地；适宜开发为农用地的，应当优先开发成农用地。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国家依法保护开发者的合法权益。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第三十九条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开垦未利用的土地，必须经过科学论证和评估，在土地利用总体规划划定的可开垦的区域内，经依法批准后进行。禁止毁坏森林、草原开垦耕地，禁止围湖造田和侵占江河滩地。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根据土地利用总体规划，对破坏生态环境开垦、围垦的土地，有计划有步骤地退耕还林、还牧、还湖。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开发未确定使用权的国有荒山、荒地、荒滩从事种植业、林业、畜牧业、渔业生产的，经县级以上人民政府依法批准，可以确定给开发单位或者个人长期使用。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第四十一条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国家鼓励土地整理。县、乡（镇）人民政府应当组织农村集体经济组织，按照土地利用总体规划，对田、水、路、林、村综合整治，提高耕地质量，增加有效耕地面积，改善农业生产条件和生态环境。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地方各级人民政府应当采取措施，改造中、低产田，整治闲散地和废弃地。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第四十二条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因挖损、塌陷、压占等造成土地破坏，用地单位和个人应当按照国家有关规定负责复垦；没有条件复垦或者复垦不符合要求的，应当缴纳土地复垦费，专项用于土地复垦。复垦的土地应当优先用于农业。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第五章 建设用地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第四十三条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任何单位和个人进行建设，需要使用土地的，必须依法申请使用国有土地；但是，兴办乡镇企业和村民建设住宅经依法批准使用本集体经济组织农民集体所有的土地的，或者乡（镇）村公共设施和公益事业建设经依法批准使用农民集体所有的土地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前款所称依法申请使用的国有土地包括国家所有的土地和国家征收的原属于农民集体所有的土地。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第四十四条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建设占用土地，涉及农用地转为建设用地的，应当办理农用地转用审批手续。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省、自治区、直辖市人民政府批准的道路、管线工程和大型基础设施建设项目、国务院批准的建设项目占用土地，涉及农用地转为建设用地的，由国务院批准。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本条第二款、第三款规定以外的建设项目占用土地，涉及农用地转为建设用地的，由省、自治区、直辖市人民政府批准。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第四十五条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征收下列土地的，由国务院批准：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（一）基本农田；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（二）基本农田以外的耕地超过三十五公顷的；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（三）其他土地超过七十公顷的。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征收前款规定以外的土地的，由省、自治区、直辖市人民政府批准，并报国务院备案。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第四十六条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国家征收土地的，依照法定程序批准后，由县级以上地方人民政府予以公告并组织实施。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被征收土地的所有权人、使用权人应当在公告规定期限内，持土地权属证书到当地人民政府土地行政主管部门办理征地补偿登记。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第四十七条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征收土地的，按照被征收土地的原用途给予补偿。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征收耕地的补偿费用包括土地补偿费、安置补助费以及地上附着物和青苗的补偿费。征收耕地的土地补偿费，为该耕地被征收前三年平均年产值的六至十倍。征收耕地的安置补助费，按照需要安置的农业人口数计算。需要安置的农业人口数，按照被征收的耕地数量除以征地前被征收单位平均每人占有耕地的数量计算。每一个需要安置的农业人口的安置补助费标准，为该耕地被征收前三年平均年产值的四至六倍。但是，每公顷被征收耕地的安置补助费，最高不得超过被征收前三年平均年产值的十五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征收其他土地的土地补偿费和安置补助费标准，由省、自治区、直辖市参照征收耕地的土地补偿费和安置补助费的标准规定。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被征收土地上的附着物和青苗的补偿标准，由省、自治区、直辖市规定。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征收城市郊区的菜地，用地单位应当按照国家有关规定缴纳新菜地开发建设基金。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本条第二款的规定支付土地补偿费和安置补助费，尚不能使需要安置的农民保持原有生活水平的，经省、自治区、直辖市人民政府批准，可以增加安置补助费。但是，土地补偿费和安置补助费的总和不得超过土地被征收前三年平均年产值的三十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国务院根据社会、经济发展水平，在特殊情况下，可以提高征收耕地的土地补偿费和安置补助费的标准。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第四十八条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征地补偿安置方案确定后，有关地方人民政府应当公告，并听取被征地的农村集体经济组织和农民的意见。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第四十九条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被征地的农村集体经济组织应当将征收土地的补偿费用的收支状况向本集体经济组织的成员公布，接受监督。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禁止侵占、挪用被征收土地单位的征地补偿费用和其他有关费用。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地方各级人民政府应当支持被征地的农村集体经济组织和农民从事开发经营，兴办企业。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第五十一条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大中型水利、水电工程建设征收土地的补偿费标准和移民安置办法，由国务院另行规定。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第五十二条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建设项目可行性研究论证时，土地行政主管部门可以根据土地利用总体规划、土地利用年度计划和建设用地标准，对建设用地有关事项进行审查，并提出意见。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第五十三条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经批准的建设项目需要使用国有建设用地的，建设单位应当持法律、行政法规规定的有关文件，向有批准权的县级以上人民政府土地行政主管部门提出建设用地申请，经土地行政主管部门审查，报本级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第五十四条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建设单位使用国有土地，应当以出让等有偿使用方式取得；但是，下列建设用地，经县级以上人民政府依法批准，可以以划拨方式取得：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（一）国家机关用地和军事用地；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（二）城市基础设施用地和公益事业用地；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（三）国家重点扶持的能源、交通、水利等基础设施用地；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（四）法律、行政法规规定的其他用地。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第五十五条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以出让等有偿使用方式取得国有土地使用权的建设单位，按照国务院规定的标准和办法，缴纳土地使用权出让金等土地有偿使用费和其他费用后，方可使用土地。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自本法施行之日起，新增建设用地的土地有偿使用费，百分之三十上缴中央财政，百分之七十留给有关地方人民政府，都专项用于耕地开发。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第五十六条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第五十七条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临时使用土地的使用者应当按照临时使用土地合同约定的用途使用土地，并不得修建永久性建筑物。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临时使用土地期限一般不超过二年。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第五十八条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有下列情形之一的，由有关人民政府土地行政主管部门报经原批准用地的人民政府或者有批准权的人民政府批准，可以收回国有土地使用权：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（一）为公共利益需要使用土地的；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（二）为实施城市规划进行旧城区改建，需要调整使用土地的；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（三）土地出让等有偿使用合同约定的使用期限届满，土地使用者未申请续期或者申请续期未获批准的；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（四）因单位撤销、迁移等原因，停止使用原划拨的国有土地的；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（五）公路、铁路、机场、矿场等经核准报废的。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依照前款第（一）项、第（二）项的规定收回国有土地使用权的，对土地使用权人应当给予适当补偿。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第五十九条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第六十条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其中，涉及占用农用地的，依照本法第四十四条的规定办理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按照前款规定兴办企业的建设用地，必须严格控制。省、自治区、直辖市可以按照乡镇企业的不同行业和经营规模，分别规定用地标准。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第六十一条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第六十二条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农村村民一户只能拥有一处宅基地，其宅基地的面积不得超过省、自治区、直辖市规定的标准。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农村村民建住宅，应当符合乡（镇）土地利用总体规划，并尽量使用原有的宅基地和村内空闲地。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农村村民住宅用地，经乡（镇）人民政府审核，由县级人民政府批准；其中，涉及占用农用地的，依照本法第四十四条的规定办理审批手续。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农村村民出卖、出租住房后，再申请宅基地的，不予批准。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第六十三条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农民集体所有的土地的使用权不得出让、转让或者出租用于非农业建设；但是，符合土地利用总体规划并依法取得建设用地的企业，因破产、兼并等情形致使土地使用权依法发生转移的除外。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第六十四条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在土地利用总体规划制定前已建的不符合土地利用总体规划确定的用途的建筑物、构筑物，不得重建、扩建。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第六十五条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有下列情形之一的，农村集体经济组织报经原批准用地的人民政府批准，可以收回土地使用权：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（一）为乡（镇）村公共设施和公益事业建设，需要使用土地的；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（二）不按照批准的用途使用土地的；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（三）因撤销、迁移等原因而停止使用土地的。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依照前款第（一）项规定收回农民集体所有的土地的，对土地使用权人应当给予适当补偿。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第六章 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第六十六条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县级以上人民政府土地行政主管部门对违反土地管理法律、法规的行为进行监督检查。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土地管理监督检查人员应当熟悉土地管理法律、法规，忠于职守、秉公执法。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第六十七条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县级以上人民政府土地行政主管部门履行监督检查职责时，有权采取下列措施：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（一）要求被检查的单位或者个人提供有关土地权利的文件和资料，进行查阅或者予以复制；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（二）要求被检查的单位或者个人就有关土地权利的问题作出说明；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（三）进入被检查单位或者个人非法占用的土地现场进行勘测；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（四）责令非法占用土地的单位或者个人停止违反土地管理法律、法规的行为。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第六十八条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土地管理监督检查人员履行职责，需要进入现场进行勘测、要求有关单位或者个人提供文件、资料和作出说明的，应当出示土地管理监督检查证件。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第六十九条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有关单位和个人对县级以上人民政府土地行政主管部门就土地违法行为进行的监督检查应当支持与配合，并提供工作方便，不得拒绝与阻碍土地管理监督检查人员依法执行职务。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第七十条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以上人民政府土地行政主管部门在监督检查工作中发现国家工作人员的违法行为，依法应当给予行政处分的，应当依法予以处理；自己无权处理的，应当向同级或者上级人民政府的行政监察机关提出行政处分建议书，有关行政监察机关应当依法予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第七十一条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县级以上人民政府土地行政主管部门在监督检查工作中发现土地违法行为构成犯罪的，应当将案件移送有关机关，依法追究刑事责任；尚不构成犯罪的，应当依法给予行政处罚。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第七十二条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本法规定应当给予行政处罚，而有关土地行政主管部门不给予行政处罚的，上级人民政府土地行政主管部门有权责令有关土地行政主管部门作出行政处罚决定或者直接给予行政处罚，并给予有关土地行政主管部门的负责人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第七章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第七十三条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第七十四条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第七十五条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违反本法规定，拒不履行土地复垦义务的，由县级以上人民政府土地行政主管部门责令限期改正；逾期不改正的，责令缴纳复垦费，专项用于土地复垦，可以处以罚款。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第七十六条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超过批准的数量占用土地，多占的土地以非法占用土地论处。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第七十七条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农村村民未经批准或者采取欺骗手段骗取批准，非法占用土地建住宅的，由县级以上人民政府土地行政主管部门责令退还非法占用的土地，限期拆除在非法占用的土地上新建的房屋。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超过省、自治区、直辖市规定的标准，多占的土地以非法占用土地论处。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第七十八条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非法批准征收、使用土地，对当事人造成损失的，依法应当承担赔偿责任。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第七十九条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侵占、挪用被征收土地单位的征地补偿费用和其他有关费用，构成犯罪的，依法追究刑事责任；尚不构成犯罪的，依法给予行政处分。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第八十条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依法收回国有土地使用权当事人拒不交出土地的，临时使用土地期满拒不归还的，或者不按照批准的用途使用国有土地的，由县级以上人民政府土地行政主管部门责令交还土地，处以罚款。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第八十一条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擅自将农民集体所有的土地的使用权出让、转让或者出租用于非农业建设的，由县级以上人民政府土地行政主管部门责令限期改正，没收违法所得，并处罚款。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第八十二条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不依照本法规定办理土地变更登记的，由县级以上人民政府土地行政主管部门责令其限期办理。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第八十三条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第八十四条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土地行政主管部门的工作人员玩忽职守、滥用职权、徇私舞弊，构成犯罪的，依法追究刑事责任；尚不构成犯罪的，依法给予行政处分。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第八章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第八十五条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中外合资经营企业、中外合作经营企业、外资企业使用土地的，适用本法；法律另有规定的，从其规定。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第八十六条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本法自1999年1月1日起施行。</w:t>
      </w:r>
    </w:p>
    <w:p>
      <w:pPr>
        <w:keepNext w:val="0"/>
        <w:keepLines w:val="0"/>
        <w:pageBreakBefore w:val="0"/>
        <w:kinsoku/>
        <w:wordWrap/>
        <w:overflowPunct/>
        <w:topLinePunct w:val="0"/>
        <w:autoSpaceDE/>
        <w:autoSpaceDN/>
        <w:bidi w:val="0"/>
        <w:adjustRightInd/>
        <w:snapToGrid/>
        <w:spacing w:line="440" w:lineRule="exact"/>
        <w:textAlignment w:val="auto"/>
        <w:rPr>
          <w:color w:val="000000" w:themeColor="text1"/>
          <w:sz w:val="18"/>
          <w:szCs w:val="2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B5934"/>
    <w:rsid w:val="7DFB5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2020-11-05T08:12:00Z</dcterms:created>
  <dc:creator>寻</dc:creator>
  <cp:lastModifiedBy>寻</cp:lastModifiedBy>
  <dcterms:modified xsi:type="dcterms:W3CDTF">2020-11-05T08:13:50Z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