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900" w:lineRule="atLeast"/>
        <w:ind w:left="0" w:right="0"/>
        <w:jc w:val="center"/>
      </w:pPr>
      <w:r>
        <w:rPr>
          <w:color w:val="0042A4"/>
          <w:shd w:val="clear" w:fill="FFFFFF"/>
        </w:rPr>
        <w:t>山东省公共资源交易信用管理办法</w:t>
      </w:r>
      <w:bookmarkStart w:id="0" w:name="_GoBack"/>
      <w:r>
        <w:rPr>
          <w:color w:val="0042A4"/>
          <w:shd w:val="clear" w:fill="FFFFFF"/>
        </w:rPr>
        <w:t>解读：</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jc w:val="center"/>
        <w:rPr>
          <w:color w:val="666666"/>
          <w:sz w:val="21"/>
          <w:szCs w:val="21"/>
        </w:rPr>
      </w:pPr>
      <w:r>
        <w:rPr>
          <w:rFonts w:ascii="宋体" w:hAnsi="宋体" w:eastAsia="宋体" w:cs="宋体"/>
          <w:color w:val="666666"/>
          <w:kern w:val="0"/>
          <w:sz w:val="21"/>
          <w:szCs w:val="21"/>
          <w:bdr w:val="none" w:color="auto" w:sz="0" w:space="0"/>
          <w:shd w:val="clear" w:fill="FFFFFF"/>
          <w:lang w:val="en-US" w:eastAsia="zh-CN" w:bidi="ar"/>
        </w:rPr>
        <w:t>发布日期：2019-02-15</w:t>
      </w:r>
    </w:p>
    <w:p>
      <w:pPr>
        <w:pStyle w:val="3"/>
        <w:keepNext w:val="0"/>
        <w:keepLines w:val="0"/>
        <w:widowControl/>
        <w:suppressLineNumbers w:val="0"/>
        <w:spacing w:before="0" w:beforeAutospacing="0" w:after="0" w:afterAutospacing="0" w:line="360" w:lineRule="atLeast"/>
        <w:ind w:left="0" w:right="0"/>
        <w:jc w:val="left"/>
      </w:pPr>
      <w:r>
        <w:rPr>
          <w:color w:val="000000"/>
          <w:sz w:val="21"/>
          <w:szCs w:val="21"/>
          <w:shd w:val="clear" w:fill="FFFFFF"/>
        </w:rPr>
        <w:t>　　近日，山东省发展改革委、省财政厅等12部门以规范性文件形式联合印发了《山东省公共资源交易信用管理办法》(以下简称《办法》)，《办法》共7章34条，对信用信息归集、信息公开和共享、信用激励和惩戒、监督管理以及法律责任等进行规定。</w:t>
      </w:r>
    </w:p>
    <w:p>
      <w:pPr>
        <w:pStyle w:val="3"/>
        <w:keepNext w:val="0"/>
        <w:keepLines w:val="0"/>
        <w:widowControl/>
        <w:suppressLineNumbers w:val="0"/>
        <w:spacing w:before="0" w:beforeAutospacing="0" w:after="0" w:afterAutospacing="0" w:line="360" w:lineRule="atLeast"/>
        <w:ind w:left="0" w:right="0"/>
        <w:jc w:val="left"/>
      </w:pPr>
      <w:r>
        <w:rPr>
          <w:color w:val="000000"/>
          <w:sz w:val="21"/>
          <w:szCs w:val="21"/>
          <w:shd w:val="clear" w:fill="FFFFFF"/>
        </w:rPr>
        <w:t>　　《办法》规定，公共资源交易平台是公共资源交易信用信息记录、归集、共享、更新、应用的枢纽。公共资源交易电子服务系统应当与同级公共资源交易电子监管系统、公共信用信息平台、投资项目在线审批监管系统、税务管理系统、政府采购信息公开平台等互联互通，动态交互更新和共享相关信用信息。</w:t>
      </w:r>
    </w:p>
    <w:p>
      <w:pPr>
        <w:pStyle w:val="3"/>
        <w:keepNext w:val="0"/>
        <w:keepLines w:val="0"/>
        <w:widowControl/>
        <w:suppressLineNumbers w:val="0"/>
        <w:spacing w:before="0" w:beforeAutospacing="0" w:after="0" w:afterAutospacing="0" w:line="360" w:lineRule="atLeast"/>
        <w:ind w:left="0" w:right="0"/>
        <w:jc w:val="left"/>
      </w:pPr>
      <w:r>
        <w:rPr>
          <w:color w:val="000000"/>
          <w:sz w:val="21"/>
          <w:szCs w:val="21"/>
          <w:shd w:val="clear" w:fill="FFFFFF"/>
        </w:rPr>
        <w:t>　　《办法》采取概括加列举方式对公共资源交易失信信息进行了规定，将失信信息规定为公共资源交易活动当事人在从事公共资源交易活动中违反法律法规规章，违背诚实信用、公平竞争原则、强制性标准或执业行为规范，被行政监督管理部门、司法机关以及法律法规授权的具有公共事务管理职能的机构依法实施行政处罚或作出处理决定的信息。同时，对《中华人民共和国招标投标法》《中华人民共和国政府采购法》《山东省公共资源交易平台管理暂行办法》《山东省公共资源交易综合评标评审专家库和专家管理暂行办法》等法律法规和文件中规定的失信行为进行了列举，共列举了23款。</w:t>
      </w:r>
    </w:p>
    <w:p>
      <w:pPr>
        <w:pStyle w:val="3"/>
        <w:keepNext w:val="0"/>
        <w:keepLines w:val="0"/>
        <w:widowControl/>
        <w:suppressLineNumbers w:val="0"/>
        <w:spacing w:before="0" w:beforeAutospacing="0" w:after="0" w:afterAutospacing="0" w:line="360" w:lineRule="atLeast"/>
        <w:ind w:left="0" w:right="0"/>
        <w:jc w:val="left"/>
      </w:pPr>
      <w:r>
        <w:rPr>
          <w:color w:val="000000"/>
          <w:sz w:val="21"/>
          <w:szCs w:val="21"/>
          <w:shd w:val="clear" w:fill="FFFFFF"/>
        </w:rPr>
        <w:t>　　《办法》提出实施公共资源交易信用激励和惩戒机制。《办法》规定，公共资源交易活动当事人有《办法》规定失信行为的，在参与公共资源交易活动时，相关行政监督管理部门应当指导、监督项目发起方及有关机构，依法限制其参与公共资源交易活动;评标评审专家库管理部门不得聘用有法律法规规定的惩戒信息的自然人为评标评审专家;中介代理或服务机构应当通过聘用文件中的聘用和解聘条件作出约定，依法限制有失信信息的从业人员参与公共资源交易活动;相关行政监督管理部门应将其列为重点监督检查对象，在日常监督和专项检查中增加检查频次。</w:t>
      </w:r>
    </w:p>
    <w:p>
      <w:pPr>
        <w:pStyle w:val="3"/>
        <w:keepNext w:val="0"/>
        <w:keepLines w:val="0"/>
        <w:widowControl/>
        <w:suppressLineNumbers w:val="0"/>
        <w:spacing w:before="0" w:beforeAutospacing="0" w:after="0" w:afterAutospacing="0" w:line="360" w:lineRule="atLeast"/>
        <w:ind w:left="0" w:right="0"/>
        <w:jc w:val="left"/>
      </w:pPr>
      <w:r>
        <w:rPr>
          <w:color w:val="000000"/>
          <w:sz w:val="21"/>
          <w:szCs w:val="21"/>
          <w:shd w:val="clear" w:fill="FFFFFF"/>
        </w:rPr>
        <w:t>　　《办法》规定了四项奖励措施，一是公共资源交易平台运行服务机构可提供优先办理、简化程序等便利服务措施。二是鼓励项目发起方通过招标文件等交易文件约定，在评标办法中进行信用加分。三是鼓励项目发起方同等条件下优先选择信用较好的中介代理和服务机构。四是对评标、评审专家年度考核予以加分，到期优先续聘。</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360" w:lineRule="atLeast"/>
              <w:ind w:left="0" w:right="0"/>
              <w:jc w:val="left"/>
              <w:rPr>
                <w:color w:val="000000"/>
                <w:sz w:val="21"/>
                <w:szCs w:val="21"/>
              </w:rPr>
            </w:pPr>
            <w:r>
              <w:rPr>
                <w:rStyle w:val="6"/>
                <w:rFonts w:ascii="宋体" w:hAnsi="宋体" w:eastAsia="宋体" w:cs="宋体"/>
                <w:color w:val="000000"/>
                <w:kern w:val="0"/>
                <w:sz w:val="21"/>
                <w:szCs w:val="21"/>
                <w:bdr w:val="none" w:color="auto" w:sz="0" w:space="0"/>
                <w:lang w:val="en-US" w:eastAsia="zh-CN" w:bidi="ar"/>
              </w:rPr>
              <w:t>相关政策解读：</w:t>
            </w:r>
            <w:r>
              <w:rPr>
                <w:rFonts w:ascii="宋体" w:hAnsi="宋体" w:eastAsia="宋体" w:cs="宋体"/>
                <w:color w:val="000000"/>
                <w:kern w:val="0"/>
                <w:sz w:val="21"/>
                <w:szCs w:val="21"/>
                <w:bdr w:val="none" w:color="auto" w:sz="0" w:space="0"/>
                <w:lang w:val="en-US" w:eastAsia="zh-CN" w:bidi="ar"/>
              </w:rPr>
              <w:t xml:space="preserve"> </w:t>
            </w:r>
            <w:r>
              <w:rPr>
                <w:rFonts w:ascii="宋体" w:hAnsi="宋体" w:eastAsia="宋体" w:cs="宋体"/>
                <w:kern w:val="0"/>
                <w:sz w:val="21"/>
                <w:szCs w:val="21"/>
                <w:bdr w:val="none" w:color="auto" w:sz="0" w:space="0"/>
                <w:lang w:val="en-US" w:eastAsia="zh-CN" w:bidi="ar"/>
              </w:rPr>
              <w:fldChar w:fldCharType="begin"/>
            </w:r>
            <w:r>
              <w:rPr>
                <w:rFonts w:ascii="宋体" w:hAnsi="宋体" w:eastAsia="宋体" w:cs="宋体"/>
                <w:kern w:val="0"/>
                <w:sz w:val="21"/>
                <w:szCs w:val="21"/>
                <w:bdr w:val="none" w:color="auto" w:sz="0" w:space="0"/>
                <w:lang w:val="en-US" w:eastAsia="zh-CN" w:bidi="ar"/>
              </w:rPr>
              <w:instrText xml:space="preserve"> HYPERLINK "http://www.jimo.gov.cn/n28356049/n5464/n5473/190806135719292304.html" \o "山东省公共信用信息管理办法" \t "http://www.jimo.gov.cn/n28356049/n5464/n5474/_blank" </w:instrText>
            </w:r>
            <w:r>
              <w:rPr>
                <w:rFonts w:ascii="宋体" w:hAnsi="宋体" w:eastAsia="宋体" w:cs="宋体"/>
                <w:kern w:val="0"/>
                <w:sz w:val="21"/>
                <w:szCs w:val="21"/>
                <w:bdr w:val="none" w:color="auto" w:sz="0" w:space="0"/>
                <w:lang w:val="en-US" w:eastAsia="zh-CN" w:bidi="ar"/>
              </w:rPr>
              <w:fldChar w:fldCharType="separate"/>
            </w:r>
            <w:r>
              <w:rPr>
                <w:rStyle w:val="9"/>
                <w:rFonts w:ascii="宋体" w:hAnsi="宋体" w:eastAsia="宋体" w:cs="宋体"/>
                <w:sz w:val="21"/>
                <w:szCs w:val="21"/>
                <w:bdr w:val="none" w:color="auto" w:sz="0" w:space="0"/>
              </w:rPr>
              <w:t>山东省公共信用信息管理办法</w:t>
            </w:r>
            <w:r>
              <w:rPr>
                <w:rFonts w:ascii="宋体" w:hAnsi="宋体" w:eastAsia="宋体" w:cs="宋体"/>
                <w:kern w:val="0"/>
                <w:sz w:val="21"/>
                <w:szCs w:val="21"/>
                <w:bdr w:val="none" w:color="auto" w:sz="0" w:space="0"/>
                <w:lang w:val="en-US" w:eastAsia="zh-CN" w:bidi="ar"/>
              </w:rPr>
              <w:fldChar w:fldCharType="end"/>
            </w:r>
          </w:p>
        </w:tc>
      </w:tr>
    </w:tbl>
    <w:p/>
    <w:sectPr>
      <w:pgSz w:w="11906" w:h="16838"/>
      <w:pgMar w:top="2098" w:right="1587" w:bottom="2098" w:left="1587" w:header="851" w:footer="992" w:gutter="0"/>
      <w:cols w:space="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604F1"/>
    <w:rsid w:val="153604F1"/>
    <w:rsid w:val="1C35389F"/>
    <w:rsid w:val="46416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83838"/>
      <w:u w:val="none"/>
      <w:bdr w:val="none" w:color="auto" w:sz="0" w:space="0"/>
    </w:rPr>
  </w:style>
  <w:style w:type="character" w:styleId="8">
    <w:name w:val="Emphasis"/>
    <w:basedOn w:val="5"/>
    <w:qFormat/>
    <w:uiPriority w:val="0"/>
    <w:rPr>
      <w:i/>
      <w:bdr w:val="none" w:color="auto" w:sz="0" w:space="0"/>
    </w:rPr>
  </w:style>
  <w:style w:type="character" w:styleId="9">
    <w:name w:val="Hyperlink"/>
    <w:basedOn w:val="5"/>
    <w:uiPriority w:val="0"/>
    <w:rPr>
      <w:color w:val="383838"/>
      <w:u w:val="none"/>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2020-06-08T09:05:00Z</dcterms:created>
  <dc:creator>Administrator</dc:creator>
  <cp:lastModifiedBy>Administrator</cp:lastModifiedBy>
  <dcterms:modified xsi:type="dcterms:W3CDTF">2020-06-08T09:10:52Z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