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thinThickLargeGap" w:color="FF0000" w:sz="24" w:space="1"/>
        </w:pBdr>
        <w:spacing w:line="1600" w:lineRule="exact"/>
        <w:jc w:val="center"/>
        <w:rPr>
          <w:rFonts w:ascii="方正小标宋简体" w:hAnsi="华文中宋" w:eastAsia="方正小标宋简体" w:cs="宋体"/>
          <w:color w:val="FF0000"/>
          <w:kern w:val="0"/>
          <w:sz w:val="84"/>
          <w:szCs w:val="84"/>
        </w:rPr>
      </w:pPr>
      <w:r>
        <w:rPr>
          <w:rFonts w:hint="eastAsia" w:ascii="方正小标宋简体" w:hAnsi="华文中宋" w:eastAsia="方正小标宋简体" w:cs="宋体"/>
          <w:color w:val="FF0000"/>
          <w:kern w:val="0"/>
          <w:sz w:val="84"/>
          <w:szCs w:val="84"/>
        </w:rPr>
        <w:t>临 沂 市 财 政 局</w:t>
      </w:r>
    </w:p>
    <w:p>
      <w:pPr>
        <w:spacing w:line="600" w:lineRule="exact"/>
        <w:jc w:val="center"/>
        <w:rPr>
          <w:rFonts w:ascii="方正小标宋简体" w:hAnsi="文星简大标宋" w:eastAsia="方正小标宋简体" w:cs="文星简大标宋"/>
          <w:sz w:val="36"/>
          <w:szCs w:val="36"/>
        </w:rPr>
      </w:pPr>
    </w:p>
    <w:p>
      <w:pPr>
        <w:spacing w:line="600" w:lineRule="exact"/>
        <w:jc w:val="center"/>
        <w:rPr>
          <w:rFonts w:ascii="方正小标宋简体" w:hAnsi="文星简大标宋" w:eastAsia="方正小标宋简体" w:cs="文星简大标宋"/>
          <w:sz w:val="44"/>
          <w:szCs w:val="36"/>
        </w:rPr>
      </w:pPr>
      <w:r>
        <w:rPr>
          <w:rFonts w:hint="eastAsia" w:ascii="方正小标宋简体" w:hAnsi="文星简大标宋" w:eastAsia="方正小标宋简体" w:cs="文星简大标宋"/>
          <w:sz w:val="44"/>
          <w:szCs w:val="36"/>
        </w:rPr>
        <w:t>政府采购供应商投诉指引</w:t>
      </w:r>
    </w:p>
    <w:p>
      <w:pPr>
        <w:spacing w:line="600" w:lineRule="exact"/>
        <w:jc w:val="center"/>
        <w:rPr>
          <w:rFonts w:ascii="文星简大标宋" w:hAnsi="文星简大标宋" w:eastAsia="文星简大标宋" w:cs="文星简大标宋"/>
          <w:sz w:val="36"/>
          <w:szCs w:val="36"/>
        </w:rPr>
      </w:pPr>
    </w:p>
    <w:p>
      <w:pPr>
        <w:spacing w:line="600" w:lineRule="exact"/>
        <w:ind w:firstLine="640" w:firstLineChars="200"/>
        <w:jc w:val="left"/>
        <w:rPr>
          <w:rFonts w:ascii="黑体" w:hAnsi="黑体" w:eastAsia="黑体" w:cs="黑体"/>
          <w:szCs w:val="32"/>
        </w:rPr>
      </w:pPr>
      <w:r>
        <w:rPr>
          <w:rFonts w:hint="eastAsia" w:ascii="黑体" w:hAnsi="黑体" w:eastAsia="黑体" w:cs="黑体"/>
          <w:szCs w:val="32"/>
        </w:rPr>
        <w:t>一、设定依据及条款：</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1.《中华人民共和国政府采购法》（自</w:t>
      </w:r>
      <w:r>
        <w:rPr>
          <w:rFonts w:hint="eastAsia" w:ascii="仿宋_GB2312" w:hAnsi="仿宋_GB2312" w:cs="仿宋_GB2312"/>
        </w:rPr>
        <w:t>2003年1月1日起施行</w:t>
      </w:r>
      <w:r>
        <w:rPr>
          <w:rFonts w:hint="eastAsia" w:ascii="仿宋_GB2312" w:hAnsi="仿宋_GB2312" w:cs="仿宋_GB2312"/>
          <w:szCs w:val="32"/>
        </w:rPr>
        <w:t>）第五十五条：“质疑供应商对采购人、采购代理机构的答复不满意或者采购人、采购代理机构未在规定的时间内作出答复的，可以在答复期满后十五个工作日内向同级政府采购监督管理部门投诉。”</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2.《政府采购质疑和投诉办法》(财政部令第94号，自2018年3月1日起施行)第十七条：“质疑供应商对采购人、采购代理机构的答复不满意，或者采购人、采购代理机构未在规定时间内作出答复的，可以在答复期满后15个工作日内向本办法第六条规定的财政部门提起投诉。”</w:t>
      </w:r>
    </w:p>
    <w:p>
      <w:pPr>
        <w:spacing w:line="600" w:lineRule="exact"/>
        <w:ind w:firstLine="640" w:firstLineChars="200"/>
        <w:jc w:val="left"/>
        <w:rPr>
          <w:rFonts w:ascii="黑体" w:hAnsi="黑体" w:eastAsia="黑体" w:cs="黑体"/>
          <w:szCs w:val="32"/>
        </w:rPr>
      </w:pPr>
      <w:r>
        <w:rPr>
          <w:rFonts w:hint="eastAsia" w:ascii="黑体" w:hAnsi="黑体" w:eastAsia="黑体" w:cs="黑体"/>
          <w:szCs w:val="32"/>
        </w:rPr>
        <w:t>二、申请主体：</w:t>
      </w:r>
    </w:p>
    <w:p>
      <w:pPr>
        <w:spacing w:line="600" w:lineRule="exact"/>
        <w:ind w:firstLine="640" w:firstLineChars="200"/>
        <w:jc w:val="left"/>
      </w:pPr>
      <w:r>
        <w:rPr>
          <w:rFonts w:hint="eastAsia"/>
        </w:rPr>
        <w:t>供应商</w:t>
      </w:r>
    </w:p>
    <w:p>
      <w:pPr>
        <w:spacing w:line="600" w:lineRule="exact"/>
        <w:ind w:firstLine="640" w:firstLineChars="200"/>
        <w:jc w:val="left"/>
        <w:rPr>
          <w:rFonts w:ascii="黑体" w:hAnsi="黑体" w:eastAsia="黑体" w:cs="黑体"/>
          <w:szCs w:val="32"/>
        </w:rPr>
      </w:pPr>
      <w:r>
        <w:rPr>
          <w:rFonts w:hint="eastAsia" w:ascii="黑体" w:hAnsi="黑体" w:eastAsia="黑体" w:cs="黑体"/>
          <w:szCs w:val="32"/>
        </w:rPr>
        <w:t>三、办理条件：</w:t>
      </w:r>
    </w:p>
    <w:p>
      <w:pPr>
        <w:spacing w:line="600" w:lineRule="exact"/>
        <w:ind w:firstLine="640" w:firstLineChars="200"/>
        <w:jc w:val="left"/>
        <w:rPr>
          <w:rFonts w:ascii="仿宋_GB2312" w:hAnsi="仿宋_GB2312" w:cs="仿宋_GB2312"/>
          <w:szCs w:val="32"/>
        </w:rPr>
      </w:pPr>
      <w:r>
        <w:rPr>
          <w:rFonts w:hint="eastAsia"/>
        </w:rPr>
        <w:t>符合《</w:t>
      </w:r>
      <w:r>
        <w:rPr>
          <w:rFonts w:hint="eastAsia" w:ascii="仿宋_GB2312" w:hAnsi="仿宋_GB2312" w:cs="仿宋_GB2312"/>
          <w:szCs w:val="32"/>
        </w:rPr>
        <w:t>中华人民共和国政府采购法</w:t>
      </w:r>
      <w:r>
        <w:rPr>
          <w:rFonts w:hint="eastAsia"/>
        </w:rPr>
        <w:t>》第五十五条规定的供应商</w:t>
      </w:r>
      <w:r>
        <w:rPr>
          <w:rFonts w:hint="eastAsia" w:ascii="仿宋_GB2312" w:hAnsi="仿宋_GB2312" w:cs="仿宋_GB2312"/>
          <w:szCs w:val="32"/>
        </w:rPr>
        <w:t>，向财政部门申请办理。</w:t>
      </w:r>
    </w:p>
    <w:p>
      <w:pPr>
        <w:spacing w:line="600" w:lineRule="exact"/>
        <w:ind w:firstLine="640" w:firstLineChars="200"/>
        <w:jc w:val="left"/>
        <w:rPr>
          <w:rFonts w:ascii="黑体" w:hAnsi="黑体" w:eastAsia="黑体" w:cs="黑体"/>
          <w:szCs w:val="32"/>
        </w:rPr>
      </w:pPr>
      <w:r>
        <w:rPr>
          <w:rFonts w:hint="eastAsia" w:ascii="黑体" w:hAnsi="黑体" w:eastAsia="黑体" w:cs="黑体"/>
          <w:szCs w:val="32"/>
        </w:rPr>
        <w:t>四、申请材料名称、来源、数量及介质要求：</w:t>
      </w:r>
    </w:p>
    <w:p>
      <w:pPr>
        <w:spacing w:line="600" w:lineRule="exact"/>
        <w:ind w:firstLine="640" w:firstLineChars="200"/>
        <w:jc w:val="left"/>
        <w:rPr>
          <w:rFonts w:ascii="仿宋_GB2312" w:hAnsi="仿宋_GB2312" w:cs="仿宋_GB2312"/>
        </w:rPr>
      </w:pPr>
      <w:r>
        <w:rPr>
          <w:rFonts w:hint="eastAsia" w:ascii="仿宋_GB2312" w:hAnsi="仿宋_GB2312" w:cs="仿宋_GB2312"/>
        </w:rPr>
        <w:t>1.投诉书；</w:t>
      </w:r>
    </w:p>
    <w:p>
      <w:pPr>
        <w:spacing w:line="600" w:lineRule="exact"/>
        <w:ind w:firstLine="640" w:firstLineChars="200"/>
        <w:jc w:val="left"/>
        <w:rPr>
          <w:rFonts w:ascii="仿宋_GB2312" w:hAnsi="仿宋_GB2312" w:cs="仿宋_GB2312"/>
        </w:rPr>
      </w:pPr>
      <w:r>
        <w:rPr>
          <w:rFonts w:hint="eastAsia" w:ascii="仿宋_GB2312" w:hAnsi="仿宋_GB2312" w:cs="仿宋_GB2312"/>
        </w:rPr>
        <w:t>2.质疑函及质疑答复；</w:t>
      </w:r>
    </w:p>
    <w:p>
      <w:pPr>
        <w:spacing w:line="600" w:lineRule="exact"/>
        <w:ind w:firstLine="640" w:firstLineChars="200"/>
        <w:jc w:val="left"/>
        <w:rPr>
          <w:rFonts w:ascii="仿宋_GB2312" w:hAnsi="仿宋_GB2312" w:cs="仿宋_GB2312"/>
        </w:rPr>
      </w:pPr>
      <w:r>
        <w:rPr>
          <w:rFonts w:hint="eastAsia" w:ascii="仿宋_GB2312" w:hAnsi="仿宋_GB2312" w:cs="仿宋_GB2312"/>
        </w:rPr>
        <w:t>3.相关证明材料。</w:t>
      </w:r>
    </w:p>
    <w:p>
      <w:pPr>
        <w:spacing w:line="600" w:lineRule="exact"/>
        <w:ind w:firstLine="640" w:firstLineChars="200"/>
        <w:jc w:val="left"/>
        <w:rPr>
          <w:rFonts w:ascii="黑体" w:hAnsi="黑体" w:eastAsia="黑体" w:cs="黑体"/>
          <w:szCs w:val="32"/>
        </w:rPr>
      </w:pPr>
      <w:r>
        <w:rPr>
          <w:rFonts w:hint="eastAsia" w:ascii="黑体" w:hAnsi="黑体" w:eastAsia="黑体" w:cs="黑体"/>
          <w:szCs w:val="32"/>
        </w:rPr>
        <w:t>五、办理流程：</w:t>
      </w:r>
    </w:p>
    <w:p>
      <w:pPr>
        <w:spacing w:line="600" w:lineRule="exact"/>
        <w:ind w:firstLine="640" w:firstLineChars="200"/>
        <w:jc w:val="left"/>
        <w:rPr>
          <w:rFonts w:ascii="仿宋_GB2312" w:hAnsi="仿宋_GB2312" w:cs="仿宋_GB2312"/>
        </w:rPr>
      </w:pPr>
      <w:r>
        <w:rPr>
          <w:rFonts w:hint="eastAsia" w:ascii="仿宋_GB2312" w:hAnsi="仿宋_GB2312" w:cs="仿宋_GB2312"/>
        </w:rPr>
        <w:t xml:space="preserve">1.接收投诉材料。 </w:t>
      </w:r>
    </w:p>
    <w:p>
      <w:pPr>
        <w:spacing w:line="600" w:lineRule="exact"/>
        <w:ind w:firstLine="640" w:firstLineChars="200"/>
        <w:jc w:val="left"/>
      </w:pPr>
      <w:r>
        <w:rPr>
          <w:rFonts w:hint="eastAsia" w:ascii="仿宋_GB2312" w:hAnsi="仿宋_GB2312" w:cs="仿宋_GB2312"/>
        </w:rPr>
        <w:t>2.审查投诉书。视情况要求供应商在合理期限内对投诉材料进行补正；视情况暂停政府采购活动</w:t>
      </w:r>
      <w:r>
        <w:rPr>
          <w:rFonts w:hint="eastAsia"/>
        </w:rPr>
        <w:t>。</w:t>
      </w:r>
    </w:p>
    <w:p>
      <w:pPr>
        <w:spacing w:line="600" w:lineRule="exact"/>
        <w:ind w:firstLine="640" w:firstLineChars="200"/>
        <w:jc w:val="left"/>
        <w:rPr>
          <w:rFonts w:ascii="仿宋_GB2312" w:hAnsi="仿宋_GB2312" w:cs="仿宋_GB2312"/>
        </w:rPr>
      </w:pPr>
      <w:r>
        <w:rPr>
          <w:rFonts w:hint="eastAsia" w:ascii="仿宋_GB2312" w:hAnsi="仿宋_GB2312" w:cs="仿宋_GB2312"/>
        </w:rPr>
        <w:t>3.向被投诉采购人、采购代理机构和与投诉事项有关的供应商发送投诉答复通知书及投诉书副本。</w:t>
      </w:r>
    </w:p>
    <w:p>
      <w:pPr>
        <w:spacing w:line="600" w:lineRule="exact"/>
        <w:ind w:firstLine="640" w:firstLineChars="200"/>
        <w:jc w:val="left"/>
        <w:rPr>
          <w:rFonts w:ascii="仿宋_GB2312" w:hAnsi="仿宋_GB2312" w:cs="仿宋_GB2312"/>
        </w:rPr>
      </w:pPr>
      <w:r>
        <w:rPr>
          <w:rFonts w:hint="eastAsia" w:ascii="仿宋_GB2312" w:hAnsi="仿宋_GB2312" w:cs="仿宋_GB2312"/>
        </w:rPr>
        <w:t>4.调阅项目档案。</w:t>
      </w:r>
    </w:p>
    <w:p>
      <w:pPr>
        <w:spacing w:line="600" w:lineRule="exact"/>
        <w:ind w:firstLine="640" w:firstLineChars="200"/>
        <w:jc w:val="left"/>
        <w:rPr>
          <w:rFonts w:ascii="仿宋_GB2312" w:hAnsi="仿宋_GB2312" w:cs="仿宋_GB2312"/>
        </w:rPr>
      </w:pPr>
      <w:r>
        <w:rPr>
          <w:rFonts w:hint="eastAsia" w:ascii="仿宋_GB2312" w:hAnsi="仿宋_GB2312" w:cs="仿宋_GB2312"/>
        </w:rPr>
        <w:t>5.书面审查，必要时可以进行调查取证或者组织质证。</w:t>
      </w:r>
    </w:p>
    <w:p>
      <w:pPr>
        <w:spacing w:line="600" w:lineRule="exact"/>
        <w:ind w:firstLine="640" w:firstLineChars="200"/>
        <w:jc w:val="left"/>
        <w:rPr>
          <w:rFonts w:ascii="仿宋_GB2312" w:hAnsi="仿宋_GB2312" w:cs="仿宋_GB2312"/>
        </w:rPr>
      </w:pPr>
      <w:r>
        <w:rPr>
          <w:rFonts w:hint="eastAsia" w:ascii="仿宋_GB2312" w:hAnsi="仿宋_GB2312" w:cs="仿宋_GB2312"/>
        </w:rPr>
        <w:t>6.作出投诉处理决定。</w:t>
      </w:r>
    </w:p>
    <w:p>
      <w:pPr>
        <w:spacing w:line="600" w:lineRule="exact"/>
        <w:ind w:firstLine="640" w:firstLineChars="200"/>
        <w:jc w:val="left"/>
        <w:rPr>
          <w:rFonts w:ascii="黑体" w:hAnsi="黑体" w:eastAsia="黑体" w:cs="黑体"/>
          <w:szCs w:val="32"/>
        </w:rPr>
      </w:pPr>
      <w:r>
        <w:rPr>
          <w:rFonts w:hint="eastAsia" w:ascii="黑体" w:hAnsi="黑体" w:eastAsia="黑体" w:cs="黑体"/>
          <w:szCs w:val="32"/>
        </w:rPr>
        <w:t>六、法定期限：</w:t>
      </w:r>
    </w:p>
    <w:p>
      <w:pPr>
        <w:spacing w:line="600" w:lineRule="exact"/>
        <w:ind w:firstLine="640" w:firstLineChars="200"/>
        <w:jc w:val="left"/>
        <w:rPr>
          <w:rFonts w:ascii="仿宋_GB2312" w:hAnsi="仿宋_GB2312" w:cs="仿宋_GB2312"/>
        </w:rPr>
      </w:pPr>
      <w:r>
        <w:rPr>
          <w:rFonts w:hint="eastAsia" w:ascii="仿宋_GB2312" w:hAnsi="仿宋_GB2312" w:cs="仿宋_GB2312"/>
        </w:rPr>
        <w:t>1.30个工作日。</w:t>
      </w:r>
    </w:p>
    <w:p>
      <w:pPr>
        <w:spacing w:line="600" w:lineRule="exact"/>
        <w:ind w:firstLine="640" w:firstLineChars="200"/>
        <w:jc w:val="left"/>
        <w:rPr>
          <w:rFonts w:ascii="仿宋_GB2312" w:hAnsi="仿宋_GB2312" w:cs="仿宋_GB2312"/>
        </w:rPr>
      </w:pPr>
      <w:r>
        <w:rPr>
          <w:rFonts w:hint="eastAsia" w:ascii="仿宋_GB2312" w:hAnsi="仿宋_GB2312" w:cs="仿宋_GB2312"/>
        </w:rPr>
        <w:t>2.需要检验、检测、鉴定、专家评审以及需要投诉人补正材料的，所需时间不计算在投诉处理期限内。</w:t>
      </w:r>
    </w:p>
    <w:p>
      <w:pPr>
        <w:spacing w:line="600" w:lineRule="exact"/>
        <w:ind w:firstLine="640" w:firstLineChars="200"/>
        <w:jc w:val="left"/>
        <w:rPr>
          <w:rFonts w:ascii="黑体" w:hAnsi="黑体" w:eastAsia="黑体" w:cs="黑体"/>
          <w:szCs w:val="32"/>
        </w:rPr>
      </w:pPr>
      <w:r>
        <w:rPr>
          <w:rFonts w:hint="eastAsia" w:ascii="黑体" w:hAnsi="黑体" w:eastAsia="黑体" w:cs="黑体"/>
          <w:szCs w:val="32"/>
        </w:rPr>
        <w:t>七、是否收费：</w:t>
      </w:r>
    </w:p>
    <w:p>
      <w:pPr>
        <w:spacing w:line="600" w:lineRule="exact"/>
        <w:ind w:firstLine="640" w:firstLineChars="200"/>
        <w:jc w:val="left"/>
        <w:rPr>
          <w:rFonts w:ascii="仿宋_GB2312" w:hAnsi="仿宋_GB2312" w:cs="仿宋_GB2312"/>
          <w:szCs w:val="32"/>
        </w:rPr>
      </w:pPr>
      <w:r>
        <w:rPr>
          <w:rFonts w:hint="eastAsia" w:ascii="仿宋_GB2312" w:hAnsi="仿宋_GB2312" w:cs="仿宋_GB2312"/>
          <w:szCs w:val="32"/>
        </w:rPr>
        <w:t>不收费。</w:t>
      </w:r>
    </w:p>
    <w:p>
      <w:pPr>
        <w:spacing w:line="600" w:lineRule="exact"/>
        <w:ind w:firstLine="640" w:firstLineChars="200"/>
        <w:jc w:val="left"/>
        <w:rPr>
          <w:rFonts w:ascii="仿宋_GB2312" w:hAnsi="仿宋_GB2312" w:cs="仿宋_GB2312"/>
          <w:color w:val="FF0000"/>
          <w:szCs w:val="32"/>
        </w:rPr>
      </w:pPr>
      <w:r>
        <w:rPr>
          <w:rFonts w:hint="eastAsia" w:ascii="黑体" w:hAnsi="黑体" w:eastAsia="黑体" w:cs="黑体"/>
          <w:szCs w:val="32"/>
        </w:rPr>
        <w:t>八、受理部门联系电话：</w:t>
      </w:r>
    </w:p>
    <w:p>
      <w:pPr>
        <w:spacing w:line="600" w:lineRule="exact"/>
        <w:ind w:firstLine="640" w:firstLineChars="200"/>
        <w:jc w:val="left"/>
        <w:rPr>
          <w:rFonts w:ascii="仿宋_GB2312" w:hAnsi="仿宋_GB2312" w:cs="仿宋_GB2312"/>
          <w:szCs w:val="32"/>
        </w:rPr>
      </w:pPr>
      <w:bookmarkStart w:id="0" w:name="OLE_LINK1"/>
      <w:r>
        <w:rPr>
          <w:rFonts w:hint="eastAsia" w:ascii="仿宋_GB2312" w:hAnsi="仿宋_GB2312" w:cs="仿宋_GB2312"/>
          <w:szCs w:val="32"/>
        </w:rPr>
        <w:t>0539-8113015  8113625</w:t>
      </w:r>
    </w:p>
    <w:bookmarkEnd w:id="0"/>
    <w:p>
      <w:pPr>
        <w:numPr>
          <w:ilvl w:val="0"/>
          <w:numId w:val="1"/>
        </w:numPr>
        <w:spacing w:line="600" w:lineRule="exact"/>
        <w:ind w:firstLine="640" w:firstLineChars="200"/>
        <w:jc w:val="left"/>
        <w:rPr>
          <w:rFonts w:hint="eastAsia" w:ascii="黑体" w:hAnsi="黑体" w:eastAsia="黑体" w:cs="黑体"/>
          <w:szCs w:val="32"/>
        </w:rPr>
      </w:pPr>
      <w:r>
        <w:rPr>
          <w:rFonts w:hint="eastAsia" w:ascii="黑体" w:hAnsi="黑体" w:eastAsia="黑体" w:cs="黑体"/>
          <w:szCs w:val="32"/>
        </w:rPr>
        <w:t>投诉书范本：</w:t>
      </w:r>
    </w:p>
    <w:p>
      <w:pPr>
        <w:widowControl w:val="0"/>
        <w:numPr>
          <w:numId w:val="0"/>
        </w:numPr>
        <w:spacing w:line="600" w:lineRule="exact"/>
        <w:jc w:val="left"/>
        <w:rPr>
          <w:rFonts w:hint="eastAsia" w:ascii="黑体" w:hAnsi="黑体" w:eastAsia="黑体" w:cs="黑体"/>
          <w:szCs w:val="32"/>
        </w:rPr>
      </w:pPr>
    </w:p>
    <w:p>
      <w:pPr>
        <w:jc w:val="center"/>
        <w:rPr>
          <w:rFonts w:ascii="仿宋_GB2312" w:hAnsi="仿宋_GB2312" w:cs="仿宋_GB2312"/>
          <w:szCs w:val="32"/>
        </w:rPr>
      </w:pPr>
      <w:r>
        <w:drawing>
          <wp:inline distT="0" distB="0" distL="114300" distR="114300">
            <wp:extent cx="5548630" cy="7599680"/>
            <wp:effectExtent l="0" t="0" r="13970" b="1270"/>
            <wp:docPr id="1" name="图片 1" descr="临财采〔2020〕17 号转发山东省财政厅《关于印发山东省政府采购供应商管理暂行办法的通知》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临财采〔2020〕17 号转发山东省财政厅《关于印发山东省政府采购供应商管理暂行办法的通知》_24"/>
                    <pic:cNvPicPr>
                      <a:picLocks noChangeAspect="1"/>
                    </pic:cNvPicPr>
                  </pic:nvPicPr>
                  <pic:blipFill>
                    <a:blip r:embed="rId5"/>
                    <a:srcRect l="13632" t="23980" r="17662" b="9532"/>
                    <a:stretch>
                      <a:fillRect/>
                    </a:stretch>
                  </pic:blipFill>
                  <pic:spPr>
                    <a:xfrm>
                      <a:off x="0" y="0"/>
                      <a:ext cx="5548630" cy="7599680"/>
                    </a:xfrm>
                    <a:prstGeom prst="rect">
                      <a:avLst/>
                    </a:prstGeom>
                  </pic:spPr>
                </pic:pic>
              </a:graphicData>
            </a:graphic>
          </wp:inline>
        </w:drawing>
      </w:r>
    </w:p>
    <w:p>
      <w:pPr>
        <w:jc w:val="center"/>
        <w:rPr>
          <w:rFonts w:ascii="仿宋_GB2312" w:hAnsi="仿宋_GB2312" w:cs="仿宋_GB2312"/>
          <w:szCs w:val="32"/>
        </w:rPr>
      </w:pPr>
      <w:bookmarkStart w:id="1" w:name="_GoBack"/>
      <w:bookmarkEnd w:id="1"/>
    </w:p>
    <w:p>
      <w:pPr>
        <w:rPr>
          <w:rFonts w:ascii="仿宋_GB2312" w:hAnsi="仿宋_GB2312" w:cs="仿宋_GB2312"/>
          <w:szCs w:val="32"/>
        </w:rPr>
      </w:pPr>
    </w:p>
    <w:p>
      <w:pPr>
        <w:rPr>
          <w:rFonts w:ascii="仿宋_GB2312" w:hAnsi="仿宋_GB2312" w:cs="仿宋_GB2312"/>
          <w:szCs w:val="32"/>
        </w:rPr>
      </w:pPr>
      <w:r>
        <w:drawing>
          <wp:anchor distT="0" distB="0" distL="114300" distR="114300" simplePos="0" relativeHeight="251661312" behindDoc="0" locked="0" layoutInCell="1" allowOverlap="1">
            <wp:simplePos x="0" y="0"/>
            <wp:positionH relativeFrom="column">
              <wp:posOffset>17780</wp:posOffset>
            </wp:positionH>
            <wp:positionV relativeFrom="paragraph">
              <wp:posOffset>724535</wp:posOffset>
            </wp:positionV>
            <wp:extent cx="5615940" cy="7941945"/>
            <wp:effectExtent l="38100" t="19050" r="22860" b="20955"/>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6"/>
                    <a:srcRect/>
                    <a:stretch>
                      <a:fillRect/>
                    </a:stretch>
                  </pic:blipFill>
                  <pic:spPr>
                    <a:xfrm>
                      <a:off x="0" y="0"/>
                      <a:ext cx="5615940" cy="7941945"/>
                    </a:xfrm>
                    <a:prstGeom prst="rect">
                      <a:avLst/>
                    </a:prstGeom>
                    <a:noFill/>
                    <a:ln w="9525">
                      <a:solidFill>
                        <a:srgbClr val="000000"/>
                      </a:solidFill>
                      <a:miter lim="800000"/>
                      <a:headEnd/>
                      <a:tailEnd/>
                    </a:ln>
                  </pic:spPr>
                </pic:pic>
              </a:graphicData>
            </a:graphic>
          </wp:anchor>
        </w:drawing>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注：范本可到</w:t>
      </w:r>
      <w:r>
        <w:rPr>
          <w:rFonts w:hint="eastAsia" w:ascii="仿宋_GB2312" w:hAnsi="仿宋_GB2312" w:cs="仿宋_GB2312"/>
          <w:szCs w:val="32"/>
          <w:lang w:eastAsia="zh-CN"/>
        </w:rPr>
        <w:t>临沂市</w:t>
      </w:r>
      <w:r>
        <w:rPr>
          <w:rFonts w:hint="eastAsia" w:ascii="仿宋_GB2312" w:hAnsi="仿宋_GB2312" w:cs="仿宋_GB2312"/>
          <w:szCs w:val="32"/>
        </w:rPr>
        <w:t>政府采购网下载。</w:t>
      </w:r>
    </w:p>
    <w:p>
      <w:pPr>
        <w:numPr>
          <w:ilvl w:val="0"/>
          <w:numId w:val="2"/>
        </w:numPr>
        <w:spacing w:line="600" w:lineRule="exact"/>
        <w:ind w:firstLine="640" w:firstLineChars="200"/>
        <w:rPr>
          <w:rFonts w:ascii="黑体" w:hAnsi="仿宋_GB2312" w:eastAsia="黑体" w:cs="仿宋_GB2312"/>
          <w:szCs w:val="32"/>
        </w:rPr>
      </w:pPr>
      <w:r>
        <w:rPr>
          <w:rFonts w:hint="eastAsia" w:ascii="黑体" w:hAnsi="仿宋_GB2312" w:eastAsia="黑体" w:cs="仿宋_GB2312"/>
          <w:szCs w:val="32"/>
        </w:rPr>
        <w:drawing>
          <wp:anchor distT="0" distB="0" distL="114300" distR="114300" simplePos="0" relativeHeight="251662336" behindDoc="0" locked="0" layoutInCell="1" allowOverlap="1">
            <wp:simplePos x="0" y="0"/>
            <wp:positionH relativeFrom="column">
              <wp:posOffset>130810</wp:posOffset>
            </wp:positionH>
            <wp:positionV relativeFrom="paragraph">
              <wp:posOffset>453390</wp:posOffset>
            </wp:positionV>
            <wp:extent cx="5615940" cy="3971290"/>
            <wp:effectExtent l="19050" t="19050" r="22860" b="1016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7"/>
                    <a:srcRect/>
                    <a:stretch>
                      <a:fillRect/>
                    </a:stretch>
                  </pic:blipFill>
                  <pic:spPr>
                    <a:xfrm>
                      <a:off x="0" y="0"/>
                      <a:ext cx="5615940" cy="3971290"/>
                    </a:xfrm>
                    <a:prstGeom prst="rect">
                      <a:avLst/>
                    </a:prstGeom>
                    <a:noFill/>
                    <a:ln w="9525">
                      <a:solidFill>
                        <a:srgbClr val="000000"/>
                      </a:solidFill>
                      <a:miter lim="800000"/>
                      <a:headEnd/>
                      <a:tailEnd/>
                    </a:ln>
                  </pic:spPr>
                </pic:pic>
              </a:graphicData>
            </a:graphic>
          </wp:anchor>
        </w:drawing>
      </w:r>
      <w:r>
        <w:rPr>
          <w:rFonts w:hint="eastAsia" w:ascii="黑体" w:hAnsi="仿宋_GB2312" w:eastAsia="黑体" w:cs="仿宋_GB2312"/>
          <w:szCs w:val="32"/>
        </w:rPr>
        <w:t>流程图：</w:t>
      </w:r>
    </w:p>
    <w:sectPr>
      <w:headerReference r:id="rId3" w:type="default"/>
      <w:pgSz w:w="11906" w:h="16838"/>
      <w:pgMar w:top="1814" w:right="1474" w:bottom="1701" w:left="1474" w:header="851" w:footer="964" w:gutter="0"/>
      <w:pgNumType w:start="4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文星简大标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4F601"/>
    <w:multiLevelType w:val="singleLevel"/>
    <w:tmpl w:val="1734F601"/>
    <w:lvl w:ilvl="0" w:tentative="0">
      <w:start w:val="9"/>
      <w:numFmt w:val="chineseCounting"/>
      <w:suff w:val="nothing"/>
      <w:lvlText w:val="%1、"/>
      <w:lvlJc w:val="left"/>
      <w:rPr>
        <w:rFonts w:hint="eastAsia"/>
      </w:rPr>
    </w:lvl>
  </w:abstractNum>
  <w:abstractNum w:abstractNumId="1">
    <w:nsid w:val="2B832090"/>
    <w:multiLevelType w:val="singleLevel"/>
    <w:tmpl w:val="2B832090"/>
    <w:lvl w:ilvl="0" w:tentative="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707FA"/>
    <w:rsid w:val="002C2DAA"/>
    <w:rsid w:val="003C318E"/>
    <w:rsid w:val="00424C00"/>
    <w:rsid w:val="00620769"/>
    <w:rsid w:val="008F6783"/>
    <w:rsid w:val="009130FE"/>
    <w:rsid w:val="00BF7D9D"/>
    <w:rsid w:val="00E46977"/>
    <w:rsid w:val="00E707FA"/>
    <w:rsid w:val="1F3F5F5A"/>
    <w:rsid w:val="2C6E08A8"/>
    <w:rsid w:val="30150485"/>
    <w:rsid w:val="34D63223"/>
    <w:rsid w:val="43955A11"/>
    <w:rsid w:val="5DE00DEC"/>
    <w:rsid w:val="6C406E22"/>
    <w:rsid w:val="6D5A5EAC"/>
    <w:rsid w:val="739E70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104</Words>
  <Characters>593</Characters>
  <Lines>4</Lines>
  <Paragraphs>1</Paragraphs>
  <TotalTime>1</TotalTime>
  <ScaleCrop>false</ScaleCrop>
  <LinksUpToDate>false</LinksUpToDate>
  <CharactersWithSpaces>696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2019-11-20T14:49:00Z</dcterms:created>
  <dc:creator>lenovo</dc:creator>
  <cp:lastModifiedBy>董董董小姐</cp:lastModifiedBy>
  <cp:lastPrinted>2019-12-25T03:03:00Z</cp:lastPrinted>
  <dcterms:modified xsi:type="dcterms:W3CDTF">2020-10-19T07:00:49Z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