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eastAsia="黑体"/>
          <w:color w:val="000000"/>
          <w:sz w:val="30"/>
          <w:szCs w:val="30"/>
          <w:shd w:val="clear" w:color="auto" w:fill="FFFFFF"/>
        </w:rPr>
      </w:pPr>
      <w:r>
        <w:rPr>
          <w:rFonts w:eastAsia="黑体"/>
          <w:color w:val="000000"/>
          <w:sz w:val="30"/>
          <w:szCs w:val="30"/>
          <w:shd w:val="clear" w:color="auto" w:fill="FFFFFF"/>
        </w:rPr>
        <w:t>附件</w:t>
      </w:r>
    </w:p>
    <w:p>
      <w:pPr>
        <w:adjustRightInd w:val="0"/>
        <w:snapToGrid w:val="0"/>
        <w:spacing w:line="600" w:lineRule="exact"/>
        <w:jc w:val="center"/>
        <w:rPr>
          <w:color w:val="000000"/>
          <w:sz w:val="30"/>
          <w:szCs w:val="30"/>
          <w:shd w:val="clear" w:color="auto" w:fill="FFFFFF"/>
        </w:rPr>
      </w:pPr>
    </w:p>
    <w:p>
      <w:pPr>
        <w:pStyle w:val="6"/>
        <w:adjustRightInd w:val="0"/>
        <w:snapToGrid w:val="0"/>
        <w:outlineLvl w:val="0"/>
        <w:rPr>
          <w:rFonts w:hint="eastAsia" w:eastAsia="方正小标宋_GBK"/>
          <w:sz w:val="40"/>
          <w:szCs w:val="40"/>
          <w:lang w:val="en" w:eastAsia="zh-CN"/>
        </w:rPr>
      </w:pPr>
      <w:bookmarkStart w:id="0" w:name="_GoBack"/>
      <w:r>
        <w:rPr>
          <w:rFonts w:hint="eastAsia"/>
          <w:sz w:val="40"/>
          <w:szCs w:val="40"/>
          <w:lang w:val="en" w:eastAsia="zh-CN"/>
        </w:rPr>
        <w:t>矿业权出让交易规则</w:t>
      </w:r>
    </w:p>
    <w:bookmarkEnd w:id="0"/>
    <w:p>
      <w:pPr>
        <w:adjustRightInd w:val="0"/>
        <w:snapToGrid w:val="0"/>
        <w:spacing w:line="600" w:lineRule="exact"/>
        <w:ind w:firstLine="600" w:firstLineChars="200"/>
        <w:rPr>
          <w:color w:val="000000"/>
          <w:sz w:val="30"/>
          <w:szCs w:val="30"/>
          <w:shd w:val="clear" w:color="auto" w:fill="FFFFFF"/>
        </w:rPr>
      </w:pP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为进一步规范矿业权</w:t>
      </w:r>
      <w:r>
        <w:rPr>
          <w:rFonts w:hint="eastAsia"/>
          <w:color w:val="000000"/>
          <w:sz w:val="30"/>
          <w:szCs w:val="30"/>
          <w:shd w:val="clear" w:color="auto" w:fill="FFFFFF"/>
          <w:lang w:eastAsia="zh-CN"/>
        </w:rPr>
        <w:t>出让</w:t>
      </w:r>
      <w:r>
        <w:rPr>
          <w:color w:val="000000"/>
          <w:sz w:val="30"/>
          <w:szCs w:val="30"/>
          <w:shd w:val="clear" w:color="auto" w:fill="FFFFFF"/>
        </w:rPr>
        <w:t>交易行为，确保矿业权</w:t>
      </w:r>
      <w:r>
        <w:rPr>
          <w:rFonts w:hint="eastAsia"/>
          <w:color w:val="000000"/>
          <w:sz w:val="30"/>
          <w:szCs w:val="30"/>
          <w:shd w:val="clear" w:color="auto" w:fill="FFFFFF"/>
          <w:lang w:eastAsia="zh-CN"/>
        </w:rPr>
        <w:t>出让</w:t>
      </w:r>
      <w:r>
        <w:rPr>
          <w:color w:val="000000"/>
          <w:sz w:val="30"/>
          <w:szCs w:val="30"/>
          <w:shd w:val="clear" w:color="auto" w:fill="FFFFFF"/>
        </w:rPr>
        <w:t>交易公开、公平、公正，维护国家权益和矿业权人合法权益，根据《中华人民共和国矿产资源法》《中华人民共和国拍卖法》《中华人民共和国招标投标法》《中华人民共和国招标投标法实施条例》《矿产资源勘查区块登记管理办法》《矿产资源开采登记管理办法》，以及《国务院办公厅关于印发整合建立统一的公共资源交易平台工作方案的通知》《国务院办公厅转发国家发展改革委关于深化公共资源交易平台整合共享指导意见的通知》等相关规定，制定本规则。</w:t>
      </w:r>
    </w:p>
    <w:p>
      <w:pPr>
        <w:adjustRightInd w:val="0"/>
        <w:snapToGrid w:val="0"/>
        <w:spacing w:line="600" w:lineRule="exact"/>
        <w:ind w:firstLine="600" w:firstLineChars="200"/>
        <w:rPr>
          <w:rFonts w:eastAsia="黑体"/>
          <w:sz w:val="30"/>
          <w:szCs w:val="30"/>
        </w:rPr>
      </w:pPr>
      <w:r>
        <w:rPr>
          <w:rFonts w:eastAsia="黑体"/>
          <w:sz w:val="30"/>
          <w:szCs w:val="30"/>
        </w:rPr>
        <w:t>一、总体要求</w:t>
      </w:r>
    </w:p>
    <w:p>
      <w:pPr>
        <w:adjustRightInd w:val="0"/>
        <w:snapToGrid w:val="0"/>
        <w:spacing w:line="600" w:lineRule="exact"/>
        <w:ind w:firstLine="600" w:firstLineChars="200"/>
        <w:rPr>
          <w:color w:val="000000"/>
          <w:sz w:val="30"/>
          <w:szCs w:val="30"/>
        </w:rPr>
      </w:pPr>
      <w:r>
        <w:rPr>
          <w:color w:val="000000"/>
          <w:sz w:val="30"/>
          <w:szCs w:val="30"/>
        </w:rPr>
        <w:t>（一）本规则所称矿业权是指探矿权和采矿权，矿业权</w:t>
      </w:r>
      <w:r>
        <w:rPr>
          <w:rFonts w:hint="eastAsia"/>
          <w:color w:val="000000"/>
          <w:sz w:val="30"/>
          <w:szCs w:val="30"/>
          <w:lang w:eastAsia="zh-CN"/>
        </w:rPr>
        <w:t>出让</w:t>
      </w:r>
      <w:r>
        <w:rPr>
          <w:color w:val="000000"/>
          <w:sz w:val="30"/>
          <w:szCs w:val="30"/>
        </w:rPr>
        <w:t>交易是指县级以上人民政府自然资源主管部门和新疆生产建设兵团所属自然资源主管部门（以下简称自然资源主管部门）出让矿业权的行为。</w:t>
      </w:r>
    </w:p>
    <w:p>
      <w:pPr>
        <w:adjustRightInd w:val="0"/>
        <w:snapToGrid w:val="0"/>
        <w:spacing w:line="600" w:lineRule="exact"/>
        <w:ind w:firstLine="600" w:firstLineChars="200"/>
        <w:rPr>
          <w:color w:val="000000"/>
          <w:sz w:val="30"/>
          <w:szCs w:val="30"/>
        </w:rPr>
      </w:pPr>
      <w:r>
        <w:rPr>
          <w:color w:val="000000"/>
          <w:sz w:val="30"/>
          <w:szCs w:val="30"/>
        </w:rPr>
        <w:t>（二）矿业权出让适用本规则，矿业权转让可参照执行。</w:t>
      </w:r>
    </w:p>
    <w:p>
      <w:pPr>
        <w:adjustRightInd w:val="0"/>
        <w:snapToGrid w:val="0"/>
        <w:spacing w:line="600" w:lineRule="exact"/>
        <w:ind w:firstLine="600" w:firstLineChars="200"/>
        <w:rPr>
          <w:color w:val="000000"/>
          <w:sz w:val="30"/>
          <w:szCs w:val="30"/>
          <w:shd w:val="clear" w:color="auto" w:fill="FFFFFF"/>
        </w:rPr>
      </w:pPr>
      <w:r>
        <w:rPr>
          <w:color w:val="000000"/>
          <w:sz w:val="30"/>
          <w:szCs w:val="30"/>
        </w:rPr>
        <w:t>铀矿等国家规定不宜公开矿种的矿业权</w:t>
      </w:r>
      <w:r>
        <w:rPr>
          <w:rFonts w:hint="eastAsia"/>
          <w:color w:val="000000"/>
          <w:sz w:val="30"/>
          <w:szCs w:val="30"/>
          <w:lang w:eastAsia="zh-CN"/>
        </w:rPr>
        <w:t>出让</w:t>
      </w:r>
      <w:r>
        <w:rPr>
          <w:color w:val="000000"/>
          <w:sz w:val="30"/>
          <w:szCs w:val="30"/>
        </w:rPr>
        <w:t>交易不适用本规则</w:t>
      </w:r>
      <w:r>
        <w:rPr>
          <w:color w:val="000000"/>
          <w:sz w:val="30"/>
          <w:szCs w:val="30"/>
          <w:shd w:val="clear" w:color="auto" w:fill="FFFFFF"/>
        </w:rPr>
        <w:t>。</w:t>
      </w:r>
    </w:p>
    <w:p>
      <w:pPr>
        <w:adjustRightInd w:val="0"/>
        <w:snapToGrid w:val="0"/>
        <w:spacing w:line="600" w:lineRule="exact"/>
        <w:ind w:firstLine="600" w:firstLineChars="200"/>
        <w:rPr>
          <w:color w:val="000000"/>
          <w:sz w:val="30"/>
          <w:szCs w:val="30"/>
        </w:rPr>
      </w:pPr>
      <w:r>
        <w:rPr>
          <w:color w:val="000000"/>
          <w:sz w:val="30"/>
          <w:szCs w:val="30"/>
        </w:rPr>
        <w:t>（三）矿业权</w:t>
      </w:r>
      <w:r>
        <w:rPr>
          <w:rFonts w:hint="eastAsia"/>
          <w:color w:val="000000"/>
          <w:sz w:val="30"/>
          <w:szCs w:val="30"/>
          <w:lang w:eastAsia="zh-CN"/>
        </w:rPr>
        <w:t>出让</w:t>
      </w:r>
      <w:r>
        <w:rPr>
          <w:color w:val="000000"/>
          <w:sz w:val="30"/>
          <w:szCs w:val="30"/>
        </w:rPr>
        <w:t>交易主体是指依法参加矿业权</w:t>
      </w:r>
      <w:r>
        <w:rPr>
          <w:rFonts w:hint="eastAsia"/>
          <w:color w:val="000000"/>
          <w:sz w:val="30"/>
          <w:szCs w:val="30"/>
          <w:lang w:eastAsia="zh-CN"/>
        </w:rPr>
        <w:t>出让</w:t>
      </w:r>
      <w:r>
        <w:rPr>
          <w:color w:val="000000"/>
          <w:sz w:val="30"/>
          <w:szCs w:val="30"/>
        </w:rPr>
        <w:t>交易的出让人、受让人、投标人、竞买人、中标人和竞得人。受让人、投标人、竞买人、中标人和竞得人应当符合法律、法规、政策文件有关资质要求的规定。</w:t>
      </w:r>
    </w:p>
    <w:p>
      <w:pPr>
        <w:adjustRightInd w:val="0"/>
        <w:snapToGrid w:val="0"/>
        <w:spacing w:line="600" w:lineRule="exact"/>
        <w:ind w:firstLine="584" w:firstLineChars="200"/>
        <w:rPr>
          <w:color w:val="000000"/>
          <w:spacing w:val="-4"/>
          <w:sz w:val="30"/>
          <w:szCs w:val="30"/>
        </w:rPr>
      </w:pPr>
      <w:r>
        <w:rPr>
          <w:color w:val="000000"/>
          <w:spacing w:val="-4"/>
          <w:sz w:val="30"/>
          <w:szCs w:val="30"/>
        </w:rPr>
        <w:t>出让人是指出让矿业权的自然资源主管部门。受让人是指符合探矿权、采矿权申请条件或者受让条件的、能独立承担民事责任的法人。</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以招标方式出让的，参与投标各方为投标人；以拍卖和挂牌方式出让的，参与竞拍和竞买各方均为竞买人；出让人按拍卖法、招标投标法、招标投标法实施条例以及矿业权出让时公告的标准、方法确定中标人、竞得人。</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（四）矿业权出让应当依照国家有关规定通过公开的交易平台进行交易，并纳入统一的公共资源交易平台</w:t>
      </w:r>
      <w:r>
        <w:rPr>
          <w:color w:val="000000"/>
          <w:sz w:val="30"/>
          <w:szCs w:val="30"/>
          <w:shd w:val="clear" w:color="auto" w:fill="FFFFFF"/>
          <w:lang w:bidi="ar"/>
        </w:rPr>
        <w:t>体系。</w:t>
      </w:r>
    </w:p>
    <w:p>
      <w:pPr>
        <w:adjustRightInd w:val="0"/>
        <w:snapToGrid w:val="0"/>
        <w:spacing w:line="600" w:lineRule="exact"/>
        <w:ind w:firstLine="600" w:firstLineChars="200"/>
        <w:rPr>
          <w:color w:val="000000"/>
          <w:sz w:val="30"/>
          <w:szCs w:val="30"/>
        </w:rPr>
      </w:pPr>
      <w:r>
        <w:rPr>
          <w:color w:val="000000"/>
          <w:sz w:val="30"/>
          <w:szCs w:val="30"/>
        </w:rPr>
        <w:t>（五）交易平台应当按照本规则组织矿业权交易，全面推行和实施电子化交易，优化交易管理和服务，自觉接受自然资源主管部门的监督和业务指导，加强自律管理，维护市场秩序，保证矿业权交易公开、公平、公正。</w:t>
      </w:r>
    </w:p>
    <w:p>
      <w:pPr>
        <w:adjustRightInd w:val="0"/>
        <w:snapToGrid w:val="0"/>
        <w:spacing w:line="600" w:lineRule="exact"/>
        <w:ind w:firstLine="600" w:firstLineChars="200"/>
        <w:rPr>
          <w:rFonts w:hint="eastAsia"/>
          <w:color w:val="000000"/>
          <w:sz w:val="30"/>
          <w:szCs w:val="30"/>
          <w:lang w:eastAsia="zh-CN"/>
        </w:rPr>
      </w:pPr>
      <w:r>
        <w:rPr>
          <w:color w:val="000000"/>
          <w:sz w:val="30"/>
          <w:szCs w:val="30"/>
        </w:rPr>
        <w:t>（六）以招标、拍卖、挂牌方式出让矿业权的，应</w:t>
      </w:r>
      <w:r>
        <w:rPr>
          <w:rFonts w:hint="eastAsia"/>
          <w:color w:val="000000"/>
          <w:sz w:val="30"/>
          <w:szCs w:val="30"/>
          <w:lang w:eastAsia="zh-CN"/>
        </w:rPr>
        <w:t>当在</w:t>
      </w:r>
      <w:r>
        <w:rPr>
          <w:color w:val="000000"/>
          <w:sz w:val="30"/>
          <w:szCs w:val="30"/>
          <w:shd w:val="clear" w:color="auto" w:fill="FFFFFF"/>
        </w:rPr>
        <w:t>统一的公共资源交易平台</w:t>
      </w:r>
      <w:r>
        <w:rPr>
          <w:color w:val="000000"/>
          <w:sz w:val="30"/>
          <w:szCs w:val="30"/>
          <w:shd w:val="clear" w:color="auto" w:fill="FFFFFF"/>
          <w:lang w:bidi="ar"/>
        </w:rPr>
        <w:t>体系</w:t>
      </w:r>
      <w:r>
        <w:rPr>
          <w:rFonts w:hint="eastAsia"/>
          <w:color w:val="000000"/>
          <w:sz w:val="30"/>
          <w:szCs w:val="30"/>
          <w:shd w:val="clear" w:color="auto" w:fill="FFFFFF"/>
          <w:lang w:eastAsia="zh-CN" w:bidi="ar"/>
        </w:rPr>
        <w:t>中</w:t>
      </w:r>
      <w:r>
        <w:rPr>
          <w:rFonts w:hint="eastAsia"/>
          <w:color w:val="000000"/>
          <w:sz w:val="30"/>
          <w:szCs w:val="30"/>
          <w:lang w:eastAsia="zh-CN"/>
        </w:rPr>
        <w:t>进行。</w:t>
      </w:r>
    </w:p>
    <w:p>
      <w:pPr>
        <w:adjustRightInd w:val="0"/>
        <w:snapToGrid w:val="0"/>
        <w:spacing w:line="600" w:lineRule="exact"/>
        <w:ind w:firstLine="600" w:firstLineChars="200"/>
        <w:rPr>
          <w:color w:val="000000"/>
          <w:sz w:val="30"/>
          <w:szCs w:val="30"/>
          <w:shd w:val="clear" w:color="auto" w:fill="FFFFFF"/>
        </w:rPr>
      </w:pPr>
      <w:r>
        <w:rPr>
          <w:rFonts w:hint="eastAsia"/>
          <w:color w:val="000000"/>
          <w:sz w:val="30"/>
          <w:szCs w:val="30"/>
          <w:shd w:val="clear" w:color="auto" w:fill="FFFFFF"/>
          <w:lang w:eastAsia="zh-CN"/>
        </w:rPr>
        <w:t>地方</w:t>
      </w:r>
      <w:r>
        <w:rPr>
          <w:color w:val="000000"/>
          <w:sz w:val="30"/>
          <w:szCs w:val="30"/>
          <w:shd w:val="clear" w:color="auto" w:fill="FFFFFF"/>
        </w:rPr>
        <w:t>自然资源主管部门需要进行招标、拍卖、挂牌出让矿业权的</w:t>
      </w:r>
      <w:r>
        <w:rPr>
          <w:rFonts w:hint="eastAsia"/>
          <w:color w:val="000000"/>
          <w:sz w:val="30"/>
          <w:szCs w:val="30"/>
          <w:shd w:val="clear" w:color="auto" w:fill="FFFFFF"/>
          <w:lang w:eastAsia="zh-CN"/>
        </w:rPr>
        <w:t>，</w:t>
      </w:r>
      <w:r>
        <w:rPr>
          <w:color w:val="000000"/>
          <w:sz w:val="30"/>
          <w:szCs w:val="30"/>
        </w:rPr>
        <w:t>应当按</w:t>
      </w:r>
      <w:r>
        <w:rPr>
          <w:color w:val="000000"/>
          <w:sz w:val="30"/>
          <w:szCs w:val="30"/>
          <w:shd w:val="clear" w:color="auto" w:fill="FFFFFF"/>
        </w:rPr>
        <w:t>照出让登记管理权限，在同级交易平台或者自然资源主管部门委托的交易平台中进行。自然资源部出让登记权限需要进行招标、拍卖、挂牌出让矿业权的，出让相关工作由自然资源部委托省级自然资源主管部门组织交易平台实施。</w:t>
      </w:r>
    </w:p>
    <w:p>
      <w:pPr>
        <w:adjustRightInd w:val="0"/>
        <w:snapToGrid w:val="0"/>
        <w:spacing w:line="600" w:lineRule="exact"/>
        <w:ind w:firstLine="600" w:firstLineChars="200"/>
        <w:rPr>
          <w:color w:val="000000"/>
          <w:kern w:val="0"/>
          <w:sz w:val="30"/>
          <w:szCs w:val="30"/>
          <w:lang w:bidi="ar"/>
        </w:rPr>
      </w:pPr>
      <w:r>
        <w:rPr>
          <w:color w:val="000000"/>
          <w:sz w:val="30"/>
          <w:szCs w:val="30"/>
          <w:shd w:val="clear" w:color="auto" w:fill="FFFFFF"/>
        </w:rPr>
        <w:t>（七）</w:t>
      </w:r>
      <w:r>
        <w:rPr>
          <w:color w:val="000000"/>
          <w:kern w:val="0"/>
          <w:sz w:val="30"/>
          <w:szCs w:val="30"/>
          <w:lang w:bidi="ar"/>
        </w:rPr>
        <w:t>以招标、拍卖、挂牌方式出让矿业权的，交易平台按照</w:t>
      </w:r>
      <w:r>
        <w:rPr>
          <w:color w:val="000000"/>
          <w:sz w:val="30"/>
          <w:szCs w:val="30"/>
          <w:shd w:val="clear" w:color="auto" w:fill="FFFFFF"/>
        </w:rPr>
        <w:t>自然</w:t>
      </w:r>
      <w:r>
        <w:rPr>
          <w:color w:val="000000"/>
          <w:kern w:val="0"/>
          <w:sz w:val="30"/>
          <w:szCs w:val="30"/>
          <w:lang w:bidi="ar"/>
        </w:rPr>
        <w:t>资源主管部门下达的委托书或者任务书组织实施。</w:t>
      </w:r>
    </w:p>
    <w:p>
      <w:pPr>
        <w:widowControl/>
        <w:adjustRightInd w:val="0"/>
        <w:snapToGrid w:val="0"/>
        <w:spacing w:line="600" w:lineRule="exact"/>
        <w:ind w:firstLine="600" w:firstLineChars="200"/>
        <w:textAlignment w:val="center"/>
        <w:rPr>
          <w:rFonts w:eastAsia="黑体"/>
          <w:color w:val="000000"/>
          <w:kern w:val="0"/>
          <w:sz w:val="30"/>
          <w:szCs w:val="30"/>
          <w:lang w:bidi="ar"/>
        </w:rPr>
      </w:pPr>
      <w:r>
        <w:rPr>
          <w:rFonts w:eastAsia="黑体"/>
          <w:color w:val="000000"/>
          <w:kern w:val="0"/>
          <w:sz w:val="30"/>
          <w:szCs w:val="30"/>
          <w:lang w:bidi="ar"/>
        </w:rPr>
        <w:t>二、公告</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（八）以招标、拍卖、挂牌方式出让矿业权的，交易平台依据出让人提供的相关材料发布出让公告。</w:t>
      </w:r>
    </w:p>
    <w:p>
      <w:pPr>
        <w:adjustRightInd w:val="0"/>
        <w:snapToGrid w:val="0"/>
        <w:spacing w:line="600" w:lineRule="exact"/>
        <w:ind w:firstLine="600" w:firstLineChars="200"/>
        <w:rPr>
          <w:color w:val="000000"/>
          <w:sz w:val="30"/>
          <w:szCs w:val="30"/>
          <w:shd w:val="clear" w:color="auto" w:fill="FFFFFF"/>
          <w:lang w:val="en"/>
        </w:rPr>
      </w:pPr>
      <w:r>
        <w:rPr>
          <w:color w:val="000000"/>
          <w:sz w:val="30"/>
          <w:szCs w:val="30"/>
          <w:shd w:val="clear" w:color="auto" w:fill="FFFFFF"/>
        </w:rPr>
        <w:t>（九）交易平台或者自然资源主管部门应当在下列平台同时发布出让公告</w:t>
      </w:r>
      <w:r>
        <w:rPr>
          <w:color w:val="000000"/>
          <w:sz w:val="30"/>
          <w:szCs w:val="30"/>
          <w:shd w:val="clear" w:color="auto" w:fill="FFFFFF"/>
          <w:lang w:val="en"/>
        </w:rPr>
        <w:t>:</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1.自然资源部门户网站；</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2.同级自然资源主管部门（或人民政府）门户网站；</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3.交易平台网站、交易大厅；</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4.有必要采取的其他方式。</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（十）出让公告应当包括以下内容：</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1.出让人和交易平台的名称、住所；</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2.拟出让矿业权的简要情况，包括项目名称、矿种、地理位置、拐点范围坐标、面积、资源储量（勘查工作程度）、开采标高、拟出让年限、资源开发利用情况、</w:t>
      </w:r>
      <w:r>
        <w:rPr>
          <w:rFonts w:hint="eastAsia"/>
          <w:color w:val="000000"/>
          <w:sz w:val="30"/>
          <w:szCs w:val="30"/>
          <w:shd w:val="clear" w:color="auto" w:fill="FFFFFF"/>
        </w:rPr>
        <w:t>多目标管理、开发全过程的动态管理要求</w:t>
      </w:r>
      <w:r>
        <w:rPr>
          <w:color w:val="000000"/>
          <w:sz w:val="30"/>
          <w:szCs w:val="30"/>
          <w:shd w:val="clear" w:color="auto" w:fill="FFFFFF"/>
        </w:rPr>
        <w:t>，以及土地复垦、矿山地质环境保护与治理恢复、海洋生态环境保护要求等；</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3.法律、法规、政策文件规定的投标人或者竞买人的资质条件；</w:t>
      </w:r>
    </w:p>
    <w:p>
      <w:pPr>
        <w:adjustRightInd w:val="0"/>
        <w:snapToGrid w:val="0"/>
        <w:spacing w:line="600" w:lineRule="exact"/>
        <w:ind w:firstLine="600" w:firstLineChars="200"/>
        <w:rPr>
          <w:rFonts w:hint="eastAsia"/>
          <w:color w:val="000000"/>
          <w:sz w:val="30"/>
          <w:szCs w:val="30"/>
          <w:shd w:val="clear" w:color="auto" w:fill="FFFFFF"/>
        </w:rPr>
      </w:pPr>
      <w:r>
        <w:rPr>
          <w:rFonts w:hint="eastAsia"/>
          <w:color w:val="000000"/>
          <w:sz w:val="30"/>
          <w:szCs w:val="30"/>
          <w:shd w:val="clear" w:color="auto" w:fill="FFFFFF"/>
        </w:rPr>
        <w:t>4.投标人或者竞买人需具备的与勘查开采相匹配的资金实力等要求；</w:t>
      </w:r>
    </w:p>
    <w:p>
      <w:pPr>
        <w:adjustRightInd w:val="0"/>
        <w:snapToGrid w:val="0"/>
        <w:spacing w:line="600" w:lineRule="exact"/>
        <w:ind w:firstLine="600" w:firstLineChars="200"/>
        <w:rPr>
          <w:color w:val="000000"/>
          <w:sz w:val="30"/>
          <w:szCs w:val="30"/>
          <w:shd w:val="clear" w:color="auto" w:fill="FFFFFF"/>
        </w:rPr>
      </w:pPr>
      <w:r>
        <w:rPr>
          <w:rFonts w:hint="eastAsia"/>
          <w:color w:val="000000"/>
          <w:sz w:val="30"/>
          <w:szCs w:val="30"/>
          <w:shd w:val="clear" w:color="auto" w:fill="FFFFFF"/>
        </w:rPr>
        <w:t>5</w:t>
      </w:r>
      <w:r>
        <w:rPr>
          <w:color w:val="000000"/>
          <w:sz w:val="30"/>
          <w:szCs w:val="30"/>
          <w:shd w:val="clear" w:color="auto" w:fill="FFFFFF"/>
        </w:rPr>
        <w:t>.出让方式及交易的时间、地点；</w:t>
      </w:r>
    </w:p>
    <w:p>
      <w:pPr>
        <w:adjustRightInd w:val="0"/>
        <w:snapToGrid w:val="0"/>
        <w:spacing w:line="600" w:lineRule="exact"/>
        <w:ind w:firstLine="600" w:firstLineChars="200"/>
        <w:rPr>
          <w:color w:val="000000"/>
          <w:sz w:val="30"/>
          <w:szCs w:val="30"/>
          <w:shd w:val="clear" w:color="auto" w:fill="FFFFFF"/>
        </w:rPr>
      </w:pPr>
      <w:r>
        <w:rPr>
          <w:rFonts w:hint="eastAsia"/>
          <w:color w:val="000000"/>
          <w:sz w:val="30"/>
          <w:szCs w:val="30"/>
          <w:shd w:val="clear" w:color="auto" w:fill="FFFFFF"/>
        </w:rPr>
        <w:t>6</w:t>
      </w:r>
      <w:r>
        <w:rPr>
          <w:color w:val="000000"/>
          <w:sz w:val="30"/>
          <w:szCs w:val="30"/>
          <w:shd w:val="clear" w:color="auto" w:fill="FFFFFF"/>
        </w:rPr>
        <w:t>.获取招标、拍卖、挂牌文件的途径和申请报名的起止时间及方式；</w:t>
      </w:r>
    </w:p>
    <w:p>
      <w:pPr>
        <w:adjustRightInd w:val="0"/>
        <w:snapToGrid w:val="0"/>
        <w:spacing w:line="600" w:lineRule="exact"/>
        <w:ind w:firstLine="600" w:firstLineChars="200"/>
        <w:rPr>
          <w:color w:val="000000"/>
          <w:sz w:val="30"/>
          <w:szCs w:val="30"/>
          <w:shd w:val="clear" w:color="auto" w:fill="FFFFFF"/>
        </w:rPr>
      </w:pPr>
      <w:r>
        <w:rPr>
          <w:rFonts w:hint="eastAsia"/>
          <w:color w:val="000000"/>
          <w:sz w:val="30"/>
          <w:szCs w:val="30"/>
          <w:shd w:val="clear" w:color="auto" w:fill="FFFFFF"/>
        </w:rPr>
        <w:t>7</w:t>
      </w:r>
      <w:r>
        <w:rPr>
          <w:color w:val="000000"/>
          <w:sz w:val="30"/>
          <w:szCs w:val="30"/>
          <w:shd w:val="clear" w:color="auto" w:fill="FFFFFF"/>
        </w:rPr>
        <w:t>.确定中标人、竞得人的标准和方法；</w:t>
      </w:r>
    </w:p>
    <w:p>
      <w:pPr>
        <w:adjustRightInd w:val="0"/>
        <w:snapToGrid w:val="0"/>
        <w:spacing w:line="600" w:lineRule="exact"/>
        <w:ind w:firstLine="600" w:firstLineChars="200"/>
        <w:rPr>
          <w:color w:val="000000"/>
          <w:sz w:val="30"/>
          <w:szCs w:val="30"/>
          <w:shd w:val="clear" w:color="auto" w:fill="FFFFFF"/>
        </w:rPr>
      </w:pPr>
      <w:r>
        <w:rPr>
          <w:rFonts w:hint="eastAsia"/>
          <w:color w:val="000000"/>
          <w:sz w:val="30"/>
          <w:szCs w:val="30"/>
          <w:shd w:val="clear" w:color="auto" w:fill="FFFFFF"/>
        </w:rPr>
        <w:t>8</w:t>
      </w:r>
      <w:r>
        <w:rPr>
          <w:color w:val="000000"/>
          <w:sz w:val="30"/>
          <w:szCs w:val="30"/>
          <w:shd w:val="clear" w:color="auto" w:fill="FFFFFF"/>
        </w:rPr>
        <w:t>.风险提示；</w:t>
      </w:r>
    </w:p>
    <w:p>
      <w:pPr>
        <w:adjustRightInd w:val="0"/>
        <w:snapToGrid w:val="0"/>
        <w:spacing w:line="600" w:lineRule="exact"/>
        <w:ind w:firstLine="600" w:firstLineChars="200"/>
        <w:rPr>
          <w:color w:val="000000"/>
          <w:sz w:val="30"/>
          <w:szCs w:val="30"/>
          <w:shd w:val="clear" w:color="auto" w:fill="FFFFFF"/>
        </w:rPr>
      </w:pPr>
      <w:r>
        <w:rPr>
          <w:rFonts w:hint="eastAsia"/>
          <w:color w:val="000000"/>
          <w:sz w:val="30"/>
          <w:szCs w:val="30"/>
          <w:shd w:val="clear" w:color="auto" w:fill="FFFFFF"/>
        </w:rPr>
        <w:t>9</w:t>
      </w:r>
      <w:r>
        <w:rPr>
          <w:color w:val="000000"/>
          <w:sz w:val="30"/>
          <w:szCs w:val="30"/>
          <w:shd w:val="clear" w:color="auto" w:fill="FFFFFF"/>
        </w:rPr>
        <w:t>.对交易矿业权异议的处理方式；</w:t>
      </w:r>
    </w:p>
    <w:p>
      <w:pPr>
        <w:adjustRightInd w:val="0"/>
        <w:snapToGrid w:val="0"/>
        <w:spacing w:line="600" w:lineRule="exact"/>
        <w:ind w:firstLine="600" w:firstLineChars="200"/>
        <w:rPr>
          <w:color w:val="000000"/>
          <w:sz w:val="30"/>
          <w:szCs w:val="30"/>
          <w:shd w:val="clear" w:color="auto" w:fill="FFFFFF"/>
        </w:rPr>
      </w:pPr>
      <w:r>
        <w:rPr>
          <w:rFonts w:hint="eastAsia"/>
          <w:color w:val="000000"/>
          <w:sz w:val="30"/>
          <w:szCs w:val="30"/>
          <w:shd w:val="clear" w:color="auto" w:fill="FFFFFF"/>
        </w:rPr>
        <w:t>10</w:t>
      </w:r>
      <w:r>
        <w:rPr>
          <w:color w:val="000000"/>
          <w:sz w:val="30"/>
          <w:szCs w:val="30"/>
          <w:shd w:val="clear" w:color="auto" w:fill="FFFFFF"/>
        </w:rPr>
        <w:t>.违约责任、公共资源交易领域失信联合惩戒相关提示；</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1</w:t>
      </w:r>
      <w:r>
        <w:rPr>
          <w:rFonts w:hint="eastAsia"/>
          <w:color w:val="000000"/>
          <w:sz w:val="30"/>
          <w:szCs w:val="30"/>
          <w:shd w:val="clear" w:color="auto" w:fill="FFFFFF"/>
        </w:rPr>
        <w:t>1</w:t>
      </w:r>
      <w:r>
        <w:rPr>
          <w:color w:val="000000"/>
          <w:sz w:val="30"/>
          <w:szCs w:val="30"/>
          <w:shd w:val="clear" w:color="auto" w:fill="FFFFFF"/>
        </w:rPr>
        <w:t>.需要公告的其他内容。</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（十一）以招标、拍卖、挂牌方式出让矿业权的，应当在投标截止日、公开拍卖日或者挂牌起始日20个工作日前发布公告。</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出让公告发布期间，公告内容发生变化的，应当按原发布渠道重新发布出让公告或者变更出让公告。涉及矿种、范围、出让年限等重大变化的，投标截止日、公开拍卖日或者挂牌起始日应</w:t>
      </w:r>
      <w:r>
        <w:rPr>
          <w:rFonts w:hint="eastAsia"/>
          <w:color w:val="000000"/>
          <w:sz w:val="30"/>
          <w:szCs w:val="30"/>
          <w:shd w:val="clear" w:color="auto" w:fill="FFFFFF"/>
          <w:lang w:eastAsia="zh-CN"/>
        </w:rPr>
        <w:t>当</w:t>
      </w:r>
      <w:r>
        <w:rPr>
          <w:color w:val="000000"/>
          <w:sz w:val="30"/>
          <w:szCs w:val="30"/>
          <w:shd w:val="clear" w:color="auto" w:fill="FFFFFF"/>
        </w:rPr>
        <w:t>按照20个工作日的时间要求顺延。</w:t>
      </w:r>
    </w:p>
    <w:p>
      <w:pPr>
        <w:widowControl/>
        <w:adjustRightInd w:val="0"/>
        <w:snapToGrid w:val="0"/>
        <w:spacing w:line="600" w:lineRule="exact"/>
        <w:ind w:firstLine="600" w:firstLineChars="200"/>
        <w:textAlignment w:val="center"/>
        <w:rPr>
          <w:rFonts w:eastAsia="黑体"/>
          <w:color w:val="000000"/>
          <w:kern w:val="0"/>
          <w:sz w:val="30"/>
          <w:szCs w:val="30"/>
          <w:lang w:bidi="ar"/>
        </w:rPr>
      </w:pPr>
      <w:r>
        <w:rPr>
          <w:rFonts w:eastAsia="黑体"/>
          <w:color w:val="000000"/>
          <w:kern w:val="0"/>
          <w:sz w:val="30"/>
          <w:szCs w:val="30"/>
          <w:lang w:bidi="ar"/>
        </w:rPr>
        <w:t>三、交易形式及流程</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（十二）交易平台应当按公告载明的时间、地点、方式，接受投标人或者竞买人的书面申请。</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投标人或者竞买人应当提供其符合矿业权受让人主体资质的有效证明材料，并对其真实性和合法性负责。</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（十三）符合公告的受让人资质条件的投标人或者竞买人，经交易平台书面确认后取得交易资格。</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（十四）交易平台应当按公告确定的时间、地点组织交易，并书面通知出让人和投标人或者竞买人参加。</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（十五）招标出让矿业权的，每宗标的的投标人不得少于3人。少于3人的，出让人应当按照相关规定停止招标、重新组织或者选择其他方式交易。</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（十六）招标、拍卖、挂牌方式出让矿业权的，招标标底、拍卖和挂牌底价由出让人在开标前、拍卖前或者挂牌期限届满前按国家有关规定确定。</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招标标底、拍卖和挂牌底价在交易活动结束前须保密且不得变更。</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无底价拍卖的，应当在竞价开始前予以说明；无底价挂牌的，应当在挂牌起始日予以说明。</w:t>
      </w:r>
    </w:p>
    <w:p>
      <w:pPr>
        <w:adjustRightInd w:val="0"/>
        <w:snapToGrid w:val="0"/>
        <w:spacing w:line="600" w:lineRule="exact"/>
        <w:ind w:firstLine="600" w:firstLineChars="200"/>
        <w:rPr>
          <w:color w:val="000000"/>
          <w:kern w:val="0"/>
          <w:sz w:val="30"/>
          <w:szCs w:val="30"/>
          <w:lang w:bidi="ar"/>
        </w:rPr>
      </w:pPr>
      <w:r>
        <w:rPr>
          <w:color w:val="000000"/>
          <w:sz w:val="30"/>
          <w:szCs w:val="30"/>
          <w:shd w:val="clear" w:color="auto" w:fill="FFFFFF"/>
        </w:rPr>
        <w:t>（十</w:t>
      </w:r>
      <w:r>
        <w:rPr>
          <w:color w:val="000000"/>
          <w:kern w:val="0"/>
          <w:sz w:val="30"/>
          <w:szCs w:val="30"/>
          <w:lang w:bidi="ar"/>
        </w:rPr>
        <w:t>七</w:t>
      </w:r>
      <w:r>
        <w:rPr>
          <w:color w:val="000000"/>
          <w:sz w:val="30"/>
          <w:szCs w:val="30"/>
          <w:shd w:val="clear" w:color="auto" w:fill="FFFFFF"/>
        </w:rPr>
        <w:t>）招标出让矿业权应当按照招标投标法、招标投标法实施条例等组织招标投标活动，综合择优确定中标人。</w:t>
      </w:r>
    </w:p>
    <w:p>
      <w:pPr>
        <w:adjustRightInd w:val="0"/>
        <w:snapToGrid w:val="0"/>
        <w:spacing w:line="600" w:lineRule="exact"/>
        <w:ind w:firstLine="600" w:firstLineChars="200"/>
        <w:rPr>
          <w:color w:val="000000"/>
          <w:kern w:val="0"/>
          <w:sz w:val="30"/>
          <w:szCs w:val="30"/>
          <w:bdr w:val="single" w:color="auto" w:sz="0" w:space="0"/>
          <w:shd w:val="clear" w:color="auto" w:fill="FFFFFF"/>
          <w:lang w:bidi="ar"/>
        </w:rPr>
      </w:pPr>
      <w:r>
        <w:rPr>
          <w:color w:val="000000"/>
          <w:sz w:val="30"/>
          <w:szCs w:val="30"/>
          <w:shd w:val="clear" w:color="auto" w:fill="FFFFFF"/>
        </w:rPr>
        <w:t>（十八）拍卖出让矿业权应当按照拍卖法组织拍卖活动。</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（十九）挂牌期间，交易平台应当在挂牌起始日公布挂牌起始价、增价规则、挂牌时间等；竞买人在挂牌时间内填写报价单报价，报价相同的，最先报价为有效报价；交易平台确认有效报价后，更新挂牌价。</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挂牌期限届满，宣布最高报价及其报价者，并询问竞买人是否愿意继续竞价。有愿意继续竞价的，通过限时竞价确定竞得人。</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挂牌时间不得少于10个工作日。</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（二十）拍卖竞价结束、挂牌期限届满，交易平台依照下列规定确定是否成交：</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1.有底价的，不低于底价的最高报价者为竞得人；无底价的，不低于起始价的最高报价者为竞得人。如在挂牌期限内只有一个竞买人报价且不低于底价，挂牌成交。</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2.无人报价或者竞买人报价低于底价的，不成交。</w:t>
      </w:r>
    </w:p>
    <w:p>
      <w:pPr>
        <w:adjustRightInd w:val="0"/>
        <w:snapToGrid w:val="0"/>
        <w:spacing w:line="600" w:lineRule="exact"/>
        <w:ind w:firstLine="600" w:firstLineChars="200"/>
        <w:rPr>
          <w:rFonts w:eastAsia="黑体"/>
          <w:color w:val="000000"/>
          <w:sz w:val="30"/>
          <w:szCs w:val="30"/>
          <w:shd w:val="clear" w:color="auto" w:fill="FFFFFF"/>
        </w:rPr>
      </w:pPr>
      <w:r>
        <w:rPr>
          <w:rFonts w:eastAsia="黑体"/>
          <w:color w:val="000000"/>
          <w:sz w:val="30"/>
          <w:szCs w:val="30"/>
          <w:shd w:val="clear" w:color="auto" w:fill="FFFFFF"/>
        </w:rPr>
        <w:t>四、确认及中止、终止</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二十一）招标成交的，交易平台应当在确定中标人的当天发出中标通知书，并同时将中标结果通知所有未中标的投标人；现场拍卖、挂牌成交的，应当当场签订成交确认书；网上拍卖、挂牌成交的，具备签订网上成交确认书条件的，应当在成交后即时签订，不具备条件的，应当在交易结束后5个工作日内到交易平台签订成交确认书。</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（二十二）中标通知书或者成交确认书应当包括下列基本内容：</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1.出让人和中标人或者竞得人及交易平台的名称、住所；</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2.出让的矿业权名称、交易方式；</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3.成交时间、地点和成交价格，主要中标条件；</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4.出让人和竞得人对交易过程和交易结果的确认；</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5.矿业权出让合同的签订时间要求；</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6.需要约定的其他内容。</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（二十三）有下列情形之一的，矿业权</w:t>
      </w:r>
      <w:r>
        <w:rPr>
          <w:rFonts w:hint="eastAsia"/>
          <w:color w:val="000000"/>
          <w:sz w:val="30"/>
          <w:szCs w:val="30"/>
          <w:shd w:val="clear" w:color="auto" w:fill="FFFFFF"/>
          <w:lang w:eastAsia="zh-CN"/>
        </w:rPr>
        <w:t>出让</w:t>
      </w:r>
      <w:r>
        <w:rPr>
          <w:color w:val="000000"/>
          <w:sz w:val="30"/>
          <w:szCs w:val="30"/>
          <w:shd w:val="clear" w:color="auto" w:fill="FFFFFF"/>
        </w:rPr>
        <w:t>交易行为中止：</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1.公告公示期间发现出让的矿业权权属争议尚未解决；</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2.中标人、竞得人有矿产资源违法行为的行政处罚逾期不履行的；</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3.因不可抗力或者政策变化应当中止交易的其他情形。</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矿业权</w:t>
      </w:r>
      <w:r>
        <w:rPr>
          <w:rFonts w:hint="eastAsia"/>
          <w:color w:val="000000"/>
          <w:sz w:val="30"/>
          <w:szCs w:val="30"/>
          <w:shd w:val="clear" w:color="auto" w:fill="FFFFFF"/>
          <w:lang w:eastAsia="zh-CN"/>
        </w:rPr>
        <w:t>出让</w:t>
      </w:r>
      <w:r>
        <w:rPr>
          <w:color w:val="000000"/>
          <w:sz w:val="30"/>
          <w:szCs w:val="30"/>
          <w:shd w:val="clear" w:color="auto" w:fill="FFFFFF"/>
        </w:rPr>
        <w:t>交易行为中止的原因消除后，应当及时恢复交易。</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（二十四）有下列情形之一的，矿业权</w:t>
      </w:r>
      <w:r>
        <w:rPr>
          <w:rFonts w:hint="eastAsia"/>
          <w:color w:val="000000"/>
          <w:sz w:val="30"/>
          <w:szCs w:val="30"/>
          <w:shd w:val="clear" w:color="auto" w:fill="FFFFFF"/>
          <w:lang w:eastAsia="zh-CN"/>
        </w:rPr>
        <w:t>出让</w:t>
      </w:r>
      <w:r>
        <w:rPr>
          <w:color w:val="000000"/>
          <w:sz w:val="30"/>
          <w:szCs w:val="30"/>
          <w:shd w:val="clear" w:color="auto" w:fill="FFFFFF"/>
        </w:rPr>
        <w:t>交易行为终止：</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1.出让人因有关政策规定、矿业权出让所依据的客观情况等发生重大变化提出终止交易；</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2.因不可抗力应当终止交易；</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3.法律法规规定的其他情形。</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（二十五）出让人需要中止、终止或者恢复矿业权</w:t>
      </w:r>
      <w:r>
        <w:rPr>
          <w:rFonts w:hint="eastAsia"/>
          <w:color w:val="000000"/>
          <w:sz w:val="30"/>
          <w:szCs w:val="30"/>
          <w:shd w:val="clear" w:color="auto" w:fill="FFFFFF"/>
          <w:lang w:eastAsia="zh-CN"/>
        </w:rPr>
        <w:t>出让</w:t>
      </w:r>
      <w:r>
        <w:rPr>
          <w:color w:val="000000"/>
          <w:sz w:val="30"/>
          <w:szCs w:val="30"/>
          <w:shd w:val="clear" w:color="auto" w:fill="FFFFFF"/>
        </w:rPr>
        <w:t>交易的，应当向交易平台出具书面意见。</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交易平台提出中止、终止或者恢复矿业权</w:t>
      </w:r>
      <w:r>
        <w:rPr>
          <w:rFonts w:hint="eastAsia"/>
          <w:color w:val="000000"/>
          <w:sz w:val="30"/>
          <w:szCs w:val="30"/>
          <w:shd w:val="clear" w:color="auto" w:fill="FFFFFF"/>
          <w:lang w:eastAsia="zh-CN"/>
        </w:rPr>
        <w:t>出让</w:t>
      </w:r>
      <w:r>
        <w:rPr>
          <w:color w:val="000000"/>
          <w:sz w:val="30"/>
          <w:szCs w:val="30"/>
          <w:shd w:val="clear" w:color="auto" w:fill="FFFFFF"/>
        </w:rPr>
        <w:t>交易，需出具书面意见，并经出让人核实同意。</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交易平台应当及时发布中止、终止或者恢复交易的公告。</w:t>
      </w:r>
    </w:p>
    <w:p>
      <w:pPr>
        <w:widowControl/>
        <w:adjustRightInd w:val="0"/>
        <w:snapToGrid w:val="0"/>
        <w:spacing w:line="600" w:lineRule="exact"/>
        <w:ind w:firstLine="600" w:firstLineChars="200"/>
        <w:textAlignment w:val="center"/>
        <w:rPr>
          <w:rFonts w:eastAsia="黑体"/>
          <w:color w:val="000000"/>
          <w:kern w:val="0"/>
          <w:sz w:val="30"/>
          <w:szCs w:val="30"/>
          <w:lang w:bidi="ar"/>
        </w:rPr>
      </w:pPr>
      <w:r>
        <w:rPr>
          <w:rFonts w:eastAsia="黑体"/>
          <w:color w:val="000000"/>
          <w:kern w:val="0"/>
          <w:sz w:val="30"/>
          <w:szCs w:val="30"/>
          <w:lang w:bidi="ar"/>
        </w:rPr>
        <w:t>五、公示</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（二十六）招标、拍卖、挂牌方式出让矿业权交易成交的，交易平台和自然资源主管部门应当将成交结果进行公示。应当公示的主要内容包括：</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1.中标人或者竞得人的名称、住所；</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2.成交时间、地点；</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3.中标或者竞得的勘查区块、面积、开采范围的简要情况；</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4.矿业权成交价格；</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5.申请办理矿业权登记的时限；</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6.对公示内容提出异议的方式及途径；</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7.应当公示的其他内容。</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（二十七）以协议方式出让矿业权的，在受理协议出让矿业权申请后，自然资源主管部门应当将相关信息进行公示。应当公示的主要内容包括：</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1.受让人名称、住所；</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2.项目名称或者矿山名称；</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3.拟协议出让矿业权的范围（含坐标、采矿权的开采标高、面积）及地理位置；</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4.勘查开采矿种、开采规模；</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5.符合协议出让规定的情形及理由；</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6.对公示内容提出异议的方式及途径；</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7.应当公开的其他内容。</w:t>
      </w:r>
    </w:p>
    <w:p>
      <w:pPr>
        <w:adjustRightInd w:val="0"/>
        <w:snapToGrid w:val="0"/>
        <w:spacing w:line="600" w:lineRule="exact"/>
        <w:ind w:firstLine="600" w:firstLineChars="200"/>
        <w:rPr>
          <w:color w:val="000000"/>
          <w:sz w:val="30"/>
          <w:szCs w:val="30"/>
          <w:shd w:val="clear" w:color="auto" w:fill="FFFFFF"/>
        </w:rPr>
      </w:pPr>
      <w:r>
        <w:rPr>
          <w:color w:val="000000"/>
          <w:kern w:val="0"/>
          <w:sz w:val="30"/>
          <w:szCs w:val="30"/>
          <w:shd w:val="clear" w:color="auto" w:fill="FFFFFF"/>
          <w:lang w:bidi="ar"/>
        </w:rPr>
        <w:t>自然资源部以协议方式出让的矿业权，需先征求省级人民政府意见的，</w:t>
      </w:r>
      <w:r>
        <w:rPr>
          <w:color w:val="000000"/>
          <w:kern w:val="0"/>
          <w:sz w:val="30"/>
          <w:szCs w:val="30"/>
          <w:lang w:bidi="ar"/>
        </w:rPr>
        <w:t>由省级自然资源主管部门进行公示。</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（二十八）招标、拍卖、挂牌方式出让矿业权成交的，交易平台应当在发出中标通知书或者签订成交确认书后5个工作日内进行信息公示。</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（二十九）以招标、拍卖、挂牌方式出让矿业权的，公示信息应当在下列平台同时发布：</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1.自然资源部门户网站；</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2.同级自然资源主管部门（或人民政府）门户网站；</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3.交易平台网站、交易大厅；</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4.有必要采取的其他方式。</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以协议方式出让矿业权的，公示信息应当在下列平台同时发布：</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1.自然资源部门户网站；</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2.同级自然资源主管部门（或人民政府）门户网站；</w:t>
      </w:r>
    </w:p>
    <w:p>
      <w:pPr>
        <w:adjustRightInd w:val="0"/>
        <w:snapToGrid w:val="0"/>
        <w:spacing w:line="600" w:lineRule="exact"/>
        <w:ind w:firstLine="600" w:firstLineChars="200"/>
        <w:outlineLvl w:val="1"/>
        <w:rPr>
          <w:color w:val="000000"/>
          <w:sz w:val="30"/>
          <w:szCs w:val="30"/>
          <w:shd w:val="clear" w:color="auto" w:fill="FFFFFF"/>
        </w:rPr>
      </w:pPr>
      <w:r>
        <w:rPr>
          <w:color w:val="000000"/>
          <w:sz w:val="30"/>
          <w:szCs w:val="30"/>
          <w:shd w:val="clear" w:color="auto" w:fill="FFFFFF"/>
        </w:rPr>
        <w:t>3.有必要采取的其他方式。</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公示期不少于10个工作日。</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（三十）</w:t>
      </w:r>
      <w:r>
        <w:rPr>
          <w:color w:val="000000"/>
          <w:kern w:val="0"/>
          <w:sz w:val="30"/>
          <w:szCs w:val="30"/>
          <w:lang w:bidi="ar"/>
        </w:rPr>
        <w:t>交易平台确需收取相关服务费用的，应当按照</w:t>
      </w:r>
      <w:r>
        <w:rPr>
          <w:color w:val="000000"/>
          <w:sz w:val="30"/>
          <w:szCs w:val="30"/>
          <w:shd w:val="clear" w:color="auto" w:fill="FFFFFF"/>
        </w:rPr>
        <w:t>规定报所在地价格主管部门批准，并公开收费标准。</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三十一）招标、拍卖、挂牌方式出让矿业权的，矿业权出让成交信息公示无异议的，出让人与中标人或者竞得人应当根据中标通知书或者成交确认书签订矿业权出让合同。矿业权出让合同应当包括下列基本内容：</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1.出让人、中标人或者竞得人和交易平台的名称、住所、法定代表人；</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2.出让矿业权的简要情况，包括项目名称、矿种、地理位置、拐点范围坐标、面积、资源储量（勘查工作程度）、开采标高等，资源开发利用、多目标管理、开发全过程的动态管理要求，以及土地复垦、矿山地质环境保护与治理恢复要求等;</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3.出让矿业权的年限；</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4.成交价格、付款期限、要求或者权益实现方式等；</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5.申请办理矿业权登记手续的时限及要求；</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6.争议解决方式及违约责任；</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7.需要约定的其他内容。</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以协议方式出让矿业权的，参照上述内容签订出让合同。</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（三十二）中标人、竞得人履行相关手续后，持中标通知书或者成交确认书、矿业权出让合同、出让收益缴纳凭证等相关材料，向有登记权限的自然资源主管部门申请办理矿业权登记手续。</w:t>
      </w:r>
    </w:p>
    <w:p>
      <w:pPr>
        <w:adjustRightInd w:val="0"/>
        <w:snapToGrid w:val="0"/>
        <w:spacing w:line="600" w:lineRule="exact"/>
        <w:ind w:firstLine="600" w:firstLineChars="200"/>
        <w:rPr>
          <w:rFonts w:eastAsia="黑体"/>
          <w:color w:val="000000"/>
          <w:sz w:val="30"/>
          <w:szCs w:val="30"/>
          <w:shd w:val="clear" w:color="auto" w:fill="FFFFFF"/>
        </w:rPr>
      </w:pPr>
      <w:r>
        <w:rPr>
          <w:rFonts w:eastAsia="黑体"/>
          <w:color w:val="000000"/>
          <w:sz w:val="30"/>
          <w:szCs w:val="30"/>
          <w:shd w:val="clear" w:color="auto" w:fill="FFFFFF"/>
        </w:rPr>
        <w:t>六、交易监管</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（三十三）地方各级自然资源主管部门应当加强对矿业权</w:t>
      </w:r>
      <w:r>
        <w:rPr>
          <w:rFonts w:hint="eastAsia"/>
          <w:color w:val="000000"/>
          <w:sz w:val="30"/>
          <w:szCs w:val="30"/>
          <w:shd w:val="clear" w:color="auto" w:fill="FFFFFF"/>
          <w:lang w:eastAsia="zh-CN"/>
        </w:rPr>
        <w:t>出让</w:t>
      </w:r>
      <w:r>
        <w:rPr>
          <w:color w:val="000000"/>
          <w:sz w:val="30"/>
          <w:szCs w:val="30"/>
          <w:shd w:val="clear" w:color="auto" w:fill="FFFFFF"/>
        </w:rPr>
        <w:t>交易活动的监督管理。上级自然资源主管部门负责监督下级自然资源主管部门的矿业权</w:t>
      </w:r>
      <w:r>
        <w:rPr>
          <w:rFonts w:hint="eastAsia"/>
          <w:color w:val="000000"/>
          <w:sz w:val="30"/>
          <w:szCs w:val="30"/>
          <w:shd w:val="clear" w:color="auto" w:fill="FFFFFF"/>
          <w:lang w:eastAsia="zh-CN"/>
        </w:rPr>
        <w:t>出让</w:t>
      </w:r>
      <w:r>
        <w:rPr>
          <w:color w:val="000000"/>
          <w:sz w:val="30"/>
          <w:szCs w:val="30"/>
          <w:shd w:val="clear" w:color="auto" w:fill="FFFFFF"/>
        </w:rPr>
        <w:t>交易活动，并提供业务指导。</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自然资源主管部门应当加强对矿业权招标、拍卖、挂牌过程的监督，完善投诉举报处置机制，加强社会监督。</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（三十四）矿业权</w:t>
      </w:r>
      <w:r>
        <w:rPr>
          <w:rFonts w:hint="eastAsia"/>
          <w:color w:val="000000"/>
          <w:sz w:val="30"/>
          <w:szCs w:val="30"/>
          <w:shd w:val="clear" w:color="auto" w:fill="FFFFFF"/>
          <w:lang w:eastAsia="zh-CN"/>
        </w:rPr>
        <w:t>出让</w:t>
      </w:r>
      <w:r>
        <w:rPr>
          <w:color w:val="000000"/>
          <w:sz w:val="30"/>
          <w:szCs w:val="30"/>
          <w:shd w:val="clear" w:color="auto" w:fill="FFFFFF"/>
        </w:rPr>
        <w:t>交易过程中，交易平台及其工作人员有违法、违规行为的，由自然资源主管部门或者交易平台的主管部门依法依规予以处理；造成经济损失的，应当承担经济赔偿责任；情节严重、构成犯罪的，移交司法机关处理。</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（三十五）自然资源主管部门应</w:t>
      </w:r>
      <w:r>
        <w:rPr>
          <w:rFonts w:hint="eastAsia"/>
          <w:color w:val="000000"/>
          <w:sz w:val="30"/>
          <w:szCs w:val="30"/>
          <w:shd w:val="clear" w:color="auto" w:fill="FFFFFF"/>
          <w:lang w:eastAsia="zh-CN"/>
        </w:rPr>
        <w:t>当</w:t>
      </w:r>
      <w:r>
        <w:rPr>
          <w:color w:val="000000"/>
          <w:sz w:val="30"/>
          <w:szCs w:val="30"/>
          <w:shd w:val="clear" w:color="auto" w:fill="FFFFFF"/>
        </w:rPr>
        <w:t>指导交易平台，按照公共资源交易领域失信联合惩戒相关要求，依法依规做好矿业权招标、拍卖、挂牌活动中失信主体相关信息的记录、管理等工作，强化信用监管。</w:t>
      </w:r>
    </w:p>
    <w:p>
      <w:pPr>
        <w:adjustRightInd w:val="0"/>
        <w:snapToGrid w:val="0"/>
        <w:spacing w:line="600" w:lineRule="exact"/>
        <w:ind w:firstLine="600" w:firstLineChars="200"/>
        <w:rPr>
          <w:color w:val="000000"/>
          <w:kern w:val="0"/>
          <w:sz w:val="30"/>
          <w:szCs w:val="30"/>
          <w:lang w:bidi="ar"/>
        </w:rPr>
      </w:pPr>
      <w:r>
        <w:rPr>
          <w:color w:val="000000"/>
          <w:sz w:val="30"/>
          <w:szCs w:val="30"/>
          <w:shd w:val="clear" w:color="auto" w:fill="FFFFFF"/>
        </w:rPr>
        <w:t>（三十六）</w:t>
      </w:r>
      <w:r>
        <w:rPr>
          <w:color w:val="000000"/>
          <w:kern w:val="0"/>
          <w:sz w:val="30"/>
          <w:szCs w:val="30"/>
          <w:lang w:bidi="ar"/>
        </w:rPr>
        <w:t>交易平台应当对每一宗矿业权交易建立档案，收集、整理自接受委托至交易结束全过程产生的相关文书并分类登记造册。</w:t>
      </w:r>
    </w:p>
    <w:p>
      <w:pPr>
        <w:widowControl/>
        <w:adjustRightInd w:val="0"/>
        <w:snapToGrid w:val="0"/>
        <w:spacing w:line="600" w:lineRule="exact"/>
        <w:ind w:firstLine="600" w:firstLineChars="200"/>
        <w:textAlignment w:val="center"/>
        <w:rPr>
          <w:rFonts w:eastAsia="黑体"/>
          <w:color w:val="000000"/>
          <w:kern w:val="0"/>
          <w:sz w:val="30"/>
          <w:szCs w:val="30"/>
          <w:lang w:bidi="ar"/>
        </w:rPr>
      </w:pPr>
      <w:r>
        <w:rPr>
          <w:rFonts w:eastAsia="黑体"/>
          <w:color w:val="000000"/>
          <w:kern w:val="0"/>
          <w:sz w:val="30"/>
          <w:szCs w:val="30"/>
          <w:lang w:bidi="ar"/>
        </w:rPr>
        <w:t>七、违约责任及争议处理</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（三十七）有下列情形之一的，视为投标人、竞买人、中标人、竞得人违约，按照公告或者合同约定承担相应的违约责任，接受公共资源交易领域失信联合惩戒：</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1.投标人相互串通投标、竞买人之间串通报价，损害国家利益、社会公共利益或者他人合法权益的；</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2.投标人、竞买人弄虚作假，骗取交易资格或中标</w:t>
      </w:r>
      <w:r>
        <w:rPr>
          <w:rFonts w:hint="eastAsia"/>
          <w:color w:val="000000"/>
          <w:sz w:val="30"/>
          <w:szCs w:val="30"/>
          <w:shd w:val="clear" w:color="auto" w:fill="FFFFFF"/>
          <w:lang w:eastAsia="zh-CN"/>
        </w:rPr>
        <w:t>、竞得</w:t>
      </w:r>
      <w:r>
        <w:rPr>
          <w:color w:val="000000"/>
          <w:sz w:val="30"/>
          <w:szCs w:val="30"/>
          <w:shd w:val="clear" w:color="auto" w:fill="FFFFFF"/>
        </w:rPr>
        <w:t>的；</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3.中标人放弃中标项目的、竞得人拒绝签订矿业权成交确认书，中标人、竞得人逾期不签订或者拒绝签订出让合同的；</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4.中标人、竞得人未按约定的时间付清约定的矿业权出让收益或者其他相关费用的；</w:t>
      </w:r>
    </w:p>
    <w:p>
      <w:pPr>
        <w:adjustRightInd w:val="0"/>
        <w:snapToGrid w:val="0"/>
        <w:spacing w:line="600" w:lineRule="exact"/>
        <w:ind w:firstLine="600" w:firstLineChars="200"/>
        <w:rPr>
          <w:color w:val="000000"/>
          <w:sz w:val="30"/>
          <w:szCs w:val="30"/>
          <w:shd w:val="clear" w:color="auto" w:fill="FFFFFF"/>
        </w:rPr>
      </w:pPr>
      <w:r>
        <w:rPr>
          <w:rFonts w:hint="eastAsia"/>
          <w:color w:val="000000"/>
          <w:sz w:val="30"/>
          <w:szCs w:val="30"/>
          <w:shd w:val="clear" w:color="auto" w:fill="FFFFFF"/>
          <w:lang w:val="en-US" w:eastAsia="zh-CN"/>
        </w:rPr>
        <w:t>5</w:t>
      </w:r>
      <w:r>
        <w:rPr>
          <w:color w:val="000000"/>
          <w:sz w:val="30"/>
          <w:szCs w:val="30"/>
          <w:shd w:val="clear" w:color="auto" w:fill="FFFFFF"/>
        </w:rPr>
        <w:t>.向主管部门或者评标委员会及其成员行贿或者采取其他不正当手段中标或者竞得的；</w:t>
      </w:r>
    </w:p>
    <w:p>
      <w:pPr>
        <w:adjustRightInd w:val="0"/>
        <w:snapToGrid w:val="0"/>
        <w:spacing w:line="600" w:lineRule="exact"/>
        <w:ind w:firstLine="600" w:firstLineChars="200"/>
        <w:rPr>
          <w:color w:val="000000"/>
          <w:sz w:val="30"/>
          <w:szCs w:val="30"/>
          <w:shd w:val="clear" w:color="auto" w:fill="FFFFFF"/>
        </w:rPr>
      </w:pPr>
      <w:r>
        <w:rPr>
          <w:rFonts w:hint="eastAsia"/>
          <w:color w:val="000000"/>
          <w:sz w:val="30"/>
          <w:szCs w:val="30"/>
          <w:shd w:val="clear" w:color="auto" w:fill="FFFFFF"/>
          <w:lang w:val="en-US" w:eastAsia="zh-CN"/>
        </w:rPr>
        <w:t>6</w:t>
      </w:r>
      <w:r>
        <w:rPr>
          <w:color w:val="000000"/>
          <w:sz w:val="30"/>
          <w:szCs w:val="30"/>
          <w:shd w:val="clear" w:color="auto" w:fill="FFFFFF"/>
        </w:rPr>
        <w:t>.其他依法应当认定为违约的情形。</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（三十八）交易过程中发生争议，合同有约定的，按合同执行；合同未约定的，由争议当事人协商解决，协商不成的，可依法向人民法院起诉。</w:t>
      </w:r>
    </w:p>
    <w:p>
      <w:pPr>
        <w:widowControl/>
        <w:adjustRightInd w:val="0"/>
        <w:snapToGrid w:val="0"/>
        <w:spacing w:line="600" w:lineRule="exact"/>
        <w:ind w:firstLine="600" w:firstLineChars="200"/>
        <w:textAlignment w:val="center"/>
        <w:rPr>
          <w:rFonts w:eastAsia="黑体"/>
          <w:color w:val="000000"/>
          <w:kern w:val="0"/>
          <w:sz w:val="30"/>
          <w:szCs w:val="30"/>
          <w:lang w:bidi="ar"/>
        </w:rPr>
      </w:pPr>
      <w:r>
        <w:rPr>
          <w:rFonts w:eastAsia="黑体"/>
          <w:color w:val="000000"/>
          <w:kern w:val="0"/>
          <w:sz w:val="30"/>
          <w:szCs w:val="30"/>
          <w:lang w:bidi="ar"/>
        </w:rPr>
        <w:t>八、其他要求</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（三十九）省级自然资源主管部门、新疆生产建设兵团自然资源局可参照本规则制定</w:t>
      </w:r>
      <w:r>
        <w:rPr>
          <w:rFonts w:hint="eastAsia"/>
          <w:color w:val="000000"/>
          <w:sz w:val="30"/>
          <w:szCs w:val="30"/>
          <w:shd w:val="clear" w:color="auto" w:fill="FFFFFF"/>
          <w:lang w:eastAsia="zh-CN"/>
        </w:rPr>
        <w:t>矿业权出让交易规则</w:t>
      </w:r>
      <w:r>
        <w:rPr>
          <w:color w:val="000000"/>
          <w:sz w:val="30"/>
          <w:szCs w:val="30"/>
          <w:shd w:val="clear" w:color="auto" w:fill="FFFFFF"/>
        </w:rPr>
        <w:t>，规范矿业权交易行为。</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（四十）涉及海砂开采的，应</w:t>
      </w:r>
      <w:r>
        <w:rPr>
          <w:rFonts w:hint="eastAsia"/>
          <w:color w:val="000000"/>
          <w:sz w:val="30"/>
          <w:szCs w:val="30"/>
          <w:shd w:val="clear" w:color="auto" w:fill="FFFFFF"/>
          <w:lang w:eastAsia="zh-CN"/>
        </w:rPr>
        <w:t>当</w:t>
      </w:r>
      <w:r>
        <w:rPr>
          <w:color w:val="000000"/>
          <w:sz w:val="30"/>
          <w:szCs w:val="30"/>
          <w:shd w:val="clear" w:color="auto" w:fill="FFFFFF"/>
        </w:rPr>
        <w:t>按规定实行海砂采矿权和海域使用权“两权合一”招标、拍卖、挂牌出让。</w:t>
      </w:r>
    </w:p>
    <w:p>
      <w:pPr>
        <w:adjustRightInd w:val="0"/>
        <w:snapToGrid w:val="0"/>
        <w:spacing w:line="600" w:lineRule="exact"/>
        <w:ind w:firstLine="600" w:firstLineChars="200"/>
        <w:rPr>
          <w:color w:val="000000"/>
          <w:kern w:val="0"/>
          <w:sz w:val="30"/>
          <w:szCs w:val="30"/>
          <w:lang w:bidi="ar"/>
        </w:rPr>
      </w:pPr>
      <w:r>
        <w:rPr>
          <w:color w:val="000000"/>
          <w:sz w:val="30"/>
          <w:szCs w:val="30"/>
          <w:shd w:val="clear" w:color="auto" w:fill="FFFFFF"/>
        </w:rPr>
        <w:t>（四十一）</w:t>
      </w:r>
      <w:r>
        <w:rPr>
          <w:color w:val="000000"/>
          <w:kern w:val="0"/>
          <w:sz w:val="30"/>
          <w:szCs w:val="30"/>
          <w:lang w:bidi="ar"/>
        </w:rPr>
        <w:t>矿业权</w:t>
      </w:r>
      <w:r>
        <w:rPr>
          <w:rFonts w:hint="eastAsia"/>
          <w:color w:val="000000"/>
          <w:kern w:val="0"/>
          <w:sz w:val="30"/>
          <w:szCs w:val="30"/>
          <w:lang w:eastAsia="zh-CN" w:bidi="ar"/>
        </w:rPr>
        <w:t>出让</w:t>
      </w:r>
      <w:r>
        <w:rPr>
          <w:color w:val="000000"/>
          <w:kern w:val="0"/>
          <w:sz w:val="30"/>
          <w:szCs w:val="30"/>
          <w:lang w:bidi="ar"/>
        </w:rPr>
        <w:t>交易活动中涉及的所有费用，均以人民币计价和结算。</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（四十二）《国土资源部关于印发〈矿业权交易规则〉的通知》（国土资规〔2017〕7号）、《自然资源部关于调整〈矿业权交易规则〉有关规定的通知》（自然资发〔2018〕175号）同时废止。</w:t>
      </w:r>
    </w:p>
    <w:p>
      <w:pPr>
        <w:adjustRightInd w:val="0"/>
        <w:snapToGrid w:val="0"/>
        <w:spacing w:line="600" w:lineRule="exact"/>
        <w:ind w:firstLine="600" w:firstLineChars="200"/>
        <w:rPr>
          <w:color w:val="000000"/>
          <w:sz w:val="30"/>
          <w:szCs w:val="30"/>
          <w:shd w:val="clear" w:color="auto" w:fill="FFFFFF"/>
        </w:rPr>
      </w:pPr>
      <w:r>
        <w:rPr>
          <w:color w:val="000000"/>
          <w:sz w:val="30"/>
          <w:szCs w:val="30"/>
          <w:shd w:val="clear" w:color="auto" w:fill="FFFFFF"/>
        </w:rPr>
        <w:t>本规则施行前已印发的其他文件与本规则规定不一致的，按照本规则执行。</w:t>
      </w:r>
    </w:p>
    <w:p>
      <w:pPr>
        <w:adjustRightInd w:val="0"/>
        <w:snapToGrid w:val="0"/>
        <w:spacing w:line="600" w:lineRule="exact"/>
        <w:ind w:firstLine="600" w:firstLineChars="200"/>
      </w:pPr>
      <w:r>
        <w:rPr>
          <w:color w:val="000000"/>
          <w:sz w:val="30"/>
          <w:szCs w:val="30"/>
          <w:shd w:val="clear" w:color="auto" w:fill="FFFFFF"/>
        </w:rPr>
        <w:t>（四十三）本规则自印发之日起施行，有效期五年。</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方正小标宋简体"/>
    <w:panose1 w:val="02000000000000000000"/>
    <w:charset w:val="86"/>
    <w:family w:val="auto"/>
    <w:pitch w:val="default"/>
    <w:sig w:usb0="00000000" w:usb1="00000000"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NmVmNzcwZWFjOGY2NjViZWE3NTQyMTUzY2I4ODMifQ=="/>
  </w:docVars>
  <w:rsids>
    <w:rsidRoot w:val="07064F97"/>
    <w:rsid w:val="001B764F"/>
    <w:rsid w:val="002F434C"/>
    <w:rsid w:val="005E1BB4"/>
    <w:rsid w:val="00652446"/>
    <w:rsid w:val="009113FF"/>
    <w:rsid w:val="00972FC5"/>
    <w:rsid w:val="00D5751C"/>
    <w:rsid w:val="00DD6C72"/>
    <w:rsid w:val="0104648B"/>
    <w:rsid w:val="010C59B5"/>
    <w:rsid w:val="01117B66"/>
    <w:rsid w:val="01172D1A"/>
    <w:rsid w:val="011E3D64"/>
    <w:rsid w:val="01427CC6"/>
    <w:rsid w:val="016F45D0"/>
    <w:rsid w:val="01B25635"/>
    <w:rsid w:val="01BE1CB7"/>
    <w:rsid w:val="01F7102B"/>
    <w:rsid w:val="01FE7204"/>
    <w:rsid w:val="01FF0933"/>
    <w:rsid w:val="02266940"/>
    <w:rsid w:val="02292985"/>
    <w:rsid w:val="024545F4"/>
    <w:rsid w:val="024B1D9F"/>
    <w:rsid w:val="0256576C"/>
    <w:rsid w:val="025A0AE2"/>
    <w:rsid w:val="02761891"/>
    <w:rsid w:val="02770871"/>
    <w:rsid w:val="02897237"/>
    <w:rsid w:val="02AE022E"/>
    <w:rsid w:val="02DD2B1B"/>
    <w:rsid w:val="02FC24A9"/>
    <w:rsid w:val="037C49D8"/>
    <w:rsid w:val="03AD53C2"/>
    <w:rsid w:val="03AE4AE4"/>
    <w:rsid w:val="03DC4DF6"/>
    <w:rsid w:val="04095395"/>
    <w:rsid w:val="040A00B6"/>
    <w:rsid w:val="041F1025"/>
    <w:rsid w:val="043D747F"/>
    <w:rsid w:val="04510052"/>
    <w:rsid w:val="046319A5"/>
    <w:rsid w:val="04844FEE"/>
    <w:rsid w:val="04863C7B"/>
    <w:rsid w:val="04AA3EE0"/>
    <w:rsid w:val="04CA0364"/>
    <w:rsid w:val="04CA3DB4"/>
    <w:rsid w:val="04CB7D38"/>
    <w:rsid w:val="04FD78AB"/>
    <w:rsid w:val="04FF3A89"/>
    <w:rsid w:val="05065D3D"/>
    <w:rsid w:val="050C26D9"/>
    <w:rsid w:val="050D387B"/>
    <w:rsid w:val="050E5DB7"/>
    <w:rsid w:val="053365FA"/>
    <w:rsid w:val="05354113"/>
    <w:rsid w:val="05370DAD"/>
    <w:rsid w:val="056A6AC3"/>
    <w:rsid w:val="056C78C4"/>
    <w:rsid w:val="05713B18"/>
    <w:rsid w:val="057C7F5C"/>
    <w:rsid w:val="058F60CF"/>
    <w:rsid w:val="059E597C"/>
    <w:rsid w:val="05B63CA2"/>
    <w:rsid w:val="05BE4B02"/>
    <w:rsid w:val="05DD7EA5"/>
    <w:rsid w:val="05F842CC"/>
    <w:rsid w:val="05FB2025"/>
    <w:rsid w:val="060E69D3"/>
    <w:rsid w:val="061C44E6"/>
    <w:rsid w:val="06313E18"/>
    <w:rsid w:val="064A791C"/>
    <w:rsid w:val="065C1146"/>
    <w:rsid w:val="066256C8"/>
    <w:rsid w:val="066F209D"/>
    <w:rsid w:val="06862BC5"/>
    <w:rsid w:val="068B051E"/>
    <w:rsid w:val="06923021"/>
    <w:rsid w:val="069B552A"/>
    <w:rsid w:val="06A84087"/>
    <w:rsid w:val="06C65E36"/>
    <w:rsid w:val="06DF4345"/>
    <w:rsid w:val="06F15EB4"/>
    <w:rsid w:val="07064F97"/>
    <w:rsid w:val="070E1C44"/>
    <w:rsid w:val="0725449D"/>
    <w:rsid w:val="07473BBB"/>
    <w:rsid w:val="07994053"/>
    <w:rsid w:val="07E45E3C"/>
    <w:rsid w:val="07FD78BB"/>
    <w:rsid w:val="080C1DF0"/>
    <w:rsid w:val="0820116F"/>
    <w:rsid w:val="08646722"/>
    <w:rsid w:val="089946B3"/>
    <w:rsid w:val="08AE4DA4"/>
    <w:rsid w:val="08F03823"/>
    <w:rsid w:val="08FE0A40"/>
    <w:rsid w:val="091E3784"/>
    <w:rsid w:val="0936782E"/>
    <w:rsid w:val="093C4115"/>
    <w:rsid w:val="094D3708"/>
    <w:rsid w:val="0970364D"/>
    <w:rsid w:val="09AD3782"/>
    <w:rsid w:val="09BC4E3E"/>
    <w:rsid w:val="09C477C5"/>
    <w:rsid w:val="09E02983"/>
    <w:rsid w:val="09F9446C"/>
    <w:rsid w:val="09F95431"/>
    <w:rsid w:val="0A013B78"/>
    <w:rsid w:val="0A2548F0"/>
    <w:rsid w:val="0A4C2D70"/>
    <w:rsid w:val="0A853700"/>
    <w:rsid w:val="0AAE7DC1"/>
    <w:rsid w:val="0AC1465D"/>
    <w:rsid w:val="0AED6459"/>
    <w:rsid w:val="0B0E6B1E"/>
    <w:rsid w:val="0B392F7A"/>
    <w:rsid w:val="0B3D4EF6"/>
    <w:rsid w:val="0B576B2E"/>
    <w:rsid w:val="0B677422"/>
    <w:rsid w:val="0B922476"/>
    <w:rsid w:val="0BBD5065"/>
    <w:rsid w:val="0C150BC2"/>
    <w:rsid w:val="0C192B45"/>
    <w:rsid w:val="0C2126B2"/>
    <w:rsid w:val="0C276FD0"/>
    <w:rsid w:val="0C2E0047"/>
    <w:rsid w:val="0C2E0E2A"/>
    <w:rsid w:val="0C374005"/>
    <w:rsid w:val="0C503173"/>
    <w:rsid w:val="0C63620B"/>
    <w:rsid w:val="0C6F615D"/>
    <w:rsid w:val="0C8B5F9E"/>
    <w:rsid w:val="0C914DD0"/>
    <w:rsid w:val="0C932CED"/>
    <w:rsid w:val="0C9C26CF"/>
    <w:rsid w:val="0CBF502C"/>
    <w:rsid w:val="0CCA1507"/>
    <w:rsid w:val="0CDA180E"/>
    <w:rsid w:val="0CED6B4D"/>
    <w:rsid w:val="0CFF07D7"/>
    <w:rsid w:val="0D215367"/>
    <w:rsid w:val="0D216899"/>
    <w:rsid w:val="0D2C0A69"/>
    <w:rsid w:val="0D2D0A75"/>
    <w:rsid w:val="0D4132B8"/>
    <w:rsid w:val="0D8802E6"/>
    <w:rsid w:val="0DBD25E5"/>
    <w:rsid w:val="0DBF6FBA"/>
    <w:rsid w:val="0DC14A4E"/>
    <w:rsid w:val="0DCC0E0A"/>
    <w:rsid w:val="0DD84824"/>
    <w:rsid w:val="0DF43B5F"/>
    <w:rsid w:val="0E222FEB"/>
    <w:rsid w:val="0E375981"/>
    <w:rsid w:val="0EB072B3"/>
    <w:rsid w:val="0ECC32E6"/>
    <w:rsid w:val="0EDC2C14"/>
    <w:rsid w:val="0EE4067A"/>
    <w:rsid w:val="0F030996"/>
    <w:rsid w:val="0F2978A1"/>
    <w:rsid w:val="0F3955AE"/>
    <w:rsid w:val="0F5A539A"/>
    <w:rsid w:val="0F916680"/>
    <w:rsid w:val="0FA1443C"/>
    <w:rsid w:val="0FD26AB0"/>
    <w:rsid w:val="0FF14C47"/>
    <w:rsid w:val="100B4779"/>
    <w:rsid w:val="105557B7"/>
    <w:rsid w:val="10764D94"/>
    <w:rsid w:val="10AC38DB"/>
    <w:rsid w:val="10C10B36"/>
    <w:rsid w:val="10C52398"/>
    <w:rsid w:val="10C87892"/>
    <w:rsid w:val="10ED2FBD"/>
    <w:rsid w:val="11284FA5"/>
    <w:rsid w:val="1132487B"/>
    <w:rsid w:val="1146601D"/>
    <w:rsid w:val="117F29BE"/>
    <w:rsid w:val="118B44D8"/>
    <w:rsid w:val="119637F2"/>
    <w:rsid w:val="119B44BB"/>
    <w:rsid w:val="11DF391E"/>
    <w:rsid w:val="123D5326"/>
    <w:rsid w:val="125B2BB6"/>
    <w:rsid w:val="12822871"/>
    <w:rsid w:val="12CC06C9"/>
    <w:rsid w:val="12D76120"/>
    <w:rsid w:val="12EE060E"/>
    <w:rsid w:val="13115766"/>
    <w:rsid w:val="134647BD"/>
    <w:rsid w:val="134A6913"/>
    <w:rsid w:val="137013E7"/>
    <w:rsid w:val="13741FCD"/>
    <w:rsid w:val="139763A5"/>
    <w:rsid w:val="13C12FC9"/>
    <w:rsid w:val="13C36BD5"/>
    <w:rsid w:val="13C83A67"/>
    <w:rsid w:val="13D060D1"/>
    <w:rsid w:val="13DE4F8A"/>
    <w:rsid w:val="14094F6B"/>
    <w:rsid w:val="141943F9"/>
    <w:rsid w:val="14272CA2"/>
    <w:rsid w:val="1441507E"/>
    <w:rsid w:val="14754311"/>
    <w:rsid w:val="1479764E"/>
    <w:rsid w:val="147B039F"/>
    <w:rsid w:val="147E30A9"/>
    <w:rsid w:val="149F21B9"/>
    <w:rsid w:val="14B4135A"/>
    <w:rsid w:val="14C3242E"/>
    <w:rsid w:val="14E427AE"/>
    <w:rsid w:val="14EB1B5D"/>
    <w:rsid w:val="155437A8"/>
    <w:rsid w:val="15612B8A"/>
    <w:rsid w:val="15662600"/>
    <w:rsid w:val="15681B47"/>
    <w:rsid w:val="156E6B96"/>
    <w:rsid w:val="15732A16"/>
    <w:rsid w:val="1593323D"/>
    <w:rsid w:val="15A83944"/>
    <w:rsid w:val="15BA449D"/>
    <w:rsid w:val="15DA0847"/>
    <w:rsid w:val="15DB2E79"/>
    <w:rsid w:val="160A34B6"/>
    <w:rsid w:val="16415FFE"/>
    <w:rsid w:val="1688607B"/>
    <w:rsid w:val="16D6034B"/>
    <w:rsid w:val="16D67BBC"/>
    <w:rsid w:val="16ED4631"/>
    <w:rsid w:val="16F00DB7"/>
    <w:rsid w:val="16F24B98"/>
    <w:rsid w:val="16F74885"/>
    <w:rsid w:val="16FB2A1C"/>
    <w:rsid w:val="171C3E77"/>
    <w:rsid w:val="1725306A"/>
    <w:rsid w:val="17391188"/>
    <w:rsid w:val="175A6CA5"/>
    <w:rsid w:val="176D3329"/>
    <w:rsid w:val="17707DDD"/>
    <w:rsid w:val="17835007"/>
    <w:rsid w:val="1785608A"/>
    <w:rsid w:val="17943C1D"/>
    <w:rsid w:val="179D0AB2"/>
    <w:rsid w:val="17CE1E92"/>
    <w:rsid w:val="17CF1457"/>
    <w:rsid w:val="17FF77A7"/>
    <w:rsid w:val="180E373D"/>
    <w:rsid w:val="18152E21"/>
    <w:rsid w:val="182D089E"/>
    <w:rsid w:val="185126C2"/>
    <w:rsid w:val="185F723F"/>
    <w:rsid w:val="18640780"/>
    <w:rsid w:val="18730D42"/>
    <w:rsid w:val="187A3D69"/>
    <w:rsid w:val="18840FFC"/>
    <w:rsid w:val="18965E58"/>
    <w:rsid w:val="18A22F1E"/>
    <w:rsid w:val="18A97F06"/>
    <w:rsid w:val="18D94BD8"/>
    <w:rsid w:val="18DA790D"/>
    <w:rsid w:val="18F0168A"/>
    <w:rsid w:val="18F9633D"/>
    <w:rsid w:val="191125A5"/>
    <w:rsid w:val="19185B9F"/>
    <w:rsid w:val="191E56C0"/>
    <w:rsid w:val="19275A99"/>
    <w:rsid w:val="19303651"/>
    <w:rsid w:val="19482B93"/>
    <w:rsid w:val="19947692"/>
    <w:rsid w:val="19A80725"/>
    <w:rsid w:val="19AE0D6C"/>
    <w:rsid w:val="19D20BB9"/>
    <w:rsid w:val="19D20BFF"/>
    <w:rsid w:val="19EE5059"/>
    <w:rsid w:val="19FA4007"/>
    <w:rsid w:val="1A1523A0"/>
    <w:rsid w:val="1A367454"/>
    <w:rsid w:val="1A484EEB"/>
    <w:rsid w:val="1A4972C5"/>
    <w:rsid w:val="1A5442DB"/>
    <w:rsid w:val="1A7C7E32"/>
    <w:rsid w:val="1AAE2F51"/>
    <w:rsid w:val="1ABE3398"/>
    <w:rsid w:val="1AD64764"/>
    <w:rsid w:val="1AE15B0C"/>
    <w:rsid w:val="1AE504AD"/>
    <w:rsid w:val="1B047E84"/>
    <w:rsid w:val="1B06779F"/>
    <w:rsid w:val="1B087996"/>
    <w:rsid w:val="1B102C57"/>
    <w:rsid w:val="1B252DD3"/>
    <w:rsid w:val="1B292ADA"/>
    <w:rsid w:val="1B7E4475"/>
    <w:rsid w:val="1B9D523F"/>
    <w:rsid w:val="1BE77611"/>
    <w:rsid w:val="1C0F51B7"/>
    <w:rsid w:val="1C4A1886"/>
    <w:rsid w:val="1C5E5CEC"/>
    <w:rsid w:val="1C710FFE"/>
    <w:rsid w:val="1C757AEE"/>
    <w:rsid w:val="1C825703"/>
    <w:rsid w:val="1C8702A6"/>
    <w:rsid w:val="1CC07F22"/>
    <w:rsid w:val="1CEF66CE"/>
    <w:rsid w:val="1CF2072D"/>
    <w:rsid w:val="1D1271C3"/>
    <w:rsid w:val="1D3F1A38"/>
    <w:rsid w:val="1D4142B8"/>
    <w:rsid w:val="1D7C68E5"/>
    <w:rsid w:val="1D7E7D51"/>
    <w:rsid w:val="1D9B35AD"/>
    <w:rsid w:val="1DA32DE7"/>
    <w:rsid w:val="1DBD44D2"/>
    <w:rsid w:val="1DC31367"/>
    <w:rsid w:val="1DD7394E"/>
    <w:rsid w:val="1DE2064C"/>
    <w:rsid w:val="1E060F07"/>
    <w:rsid w:val="1E213630"/>
    <w:rsid w:val="1E2E0004"/>
    <w:rsid w:val="1E3730D1"/>
    <w:rsid w:val="1E5E4D6D"/>
    <w:rsid w:val="1E92204F"/>
    <w:rsid w:val="1EB34E2A"/>
    <w:rsid w:val="1EC24919"/>
    <w:rsid w:val="1EC306A4"/>
    <w:rsid w:val="1ECA4B8C"/>
    <w:rsid w:val="1EDA4958"/>
    <w:rsid w:val="1EE701D6"/>
    <w:rsid w:val="1F127AAA"/>
    <w:rsid w:val="1F8325FB"/>
    <w:rsid w:val="200271FA"/>
    <w:rsid w:val="203820AF"/>
    <w:rsid w:val="203B6290"/>
    <w:rsid w:val="205E5D08"/>
    <w:rsid w:val="209D7F66"/>
    <w:rsid w:val="20A626F9"/>
    <w:rsid w:val="20BA4A0C"/>
    <w:rsid w:val="20D74701"/>
    <w:rsid w:val="20FF2E6D"/>
    <w:rsid w:val="21122734"/>
    <w:rsid w:val="212017C7"/>
    <w:rsid w:val="2138131F"/>
    <w:rsid w:val="213A7E4E"/>
    <w:rsid w:val="215A1558"/>
    <w:rsid w:val="218419D2"/>
    <w:rsid w:val="21B571F4"/>
    <w:rsid w:val="21CD0743"/>
    <w:rsid w:val="21E14D0E"/>
    <w:rsid w:val="21EE1100"/>
    <w:rsid w:val="21F83FE5"/>
    <w:rsid w:val="221159CA"/>
    <w:rsid w:val="2220558F"/>
    <w:rsid w:val="22207EE9"/>
    <w:rsid w:val="2221215B"/>
    <w:rsid w:val="224A2287"/>
    <w:rsid w:val="22634CA2"/>
    <w:rsid w:val="228C2D3B"/>
    <w:rsid w:val="22A72405"/>
    <w:rsid w:val="22C84135"/>
    <w:rsid w:val="22DE6A2C"/>
    <w:rsid w:val="23111E39"/>
    <w:rsid w:val="2314465C"/>
    <w:rsid w:val="23162F87"/>
    <w:rsid w:val="231E71DC"/>
    <w:rsid w:val="232537C5"/>
    <w:rsid w:val="23426F9F"/>
    <w:rsid w:val="237D3CA0"/>
    <w:rsid w:val="238C650C"/>
    <w:rsid w:val="23B51085"/>
    <w:rsid w:val="23C21C64"/>
    <w:rsid w:val="23D23AC9"/>
    <w:rsid w:val="23F559B5"/>
    <w:rsid w:val="243D42D2"/>
    <w:rsid w:val="24453FC2"/>
    <w:rsid w:val="244E5FA6"/>
    <w:rsid w:val="247F455D"/>
    <w:rsid w:val="2481789E"/>
    <w:rsid w:val="24A26421"/>
    <w:rsid w:val="24A72CCF"/>
    <w:rsid w:val="24D25765"/>
    <w:rsid w:val="24D53F95"/>
    <w:rsid w:val="24DE45A2"/>
    <w:rsid w:val="24E9654A"/>
    <w:rsid w:val="24F7322F"/>
    <w:rsid w:val="25047E3B"/>
    <w:rsid w:val="250A07E8"/>
    <w:rsid w:val="250A5137"/>
    <w:rsid w:val="252601AC"/>
    <w:rsid w:val="255156C5"/>
    <w:rsid w:val="257878A9"/>
    <w:rsid w:val="25BB17C0"/>
    <w:rsid w:val="25BD7077"/>
    <w:rsid w:val="25BE5A35"/>
    <w:rsid w:val="25F11919"/>
    <w:rsid w:val="26050289"/>
    <w:rsid w:val="26107468"/>
    <w:rsid w:val="26305682"/>
    <w:rsid w:val="263A2E23"/>
    <w:rsid w:val="26565559"/>
    <w:rsid w:val="266940ED"/>
    <w:rsid w:val="266A57D7"/>
    <w:rsid w:val="2686247D"/>
    <w:rsid w:val="269F59A4"/>
    <w:rsid w:val="26A03391"/>
    <w:rsid w:val="26C319EB"/>
    <w:rsid w:val="26D82BED"/>
    <w:rsid w:val="26E40577"/>
    <w:rsid w:val="271A0441"/>
    <w:rsid w:val="2761537F"/>
    <w:rsid w:val="276323C7"/>
    <w:rsid w:val="27F509A8"/>
    <w:rsid w:val="27FA608E"/>
    <w:rsid w:val="280D6756"/>
    <w:rsid w:val="28133E1E"/>
    <w:rsid w:val="281C07FD"/>
    <w:rsid w:val="28234293"/>
    <w:rsid w:val="28487532"/>
    <w:rsid w:val="28503929"/>
    <w:rsid w:val="285D16F6"/>
    <w:rsid w:val="288D4D25"/>
    <w:rsid w:val="28D06C1D"/>
    <w:rsid w:val="28F36A7F"/>
    <w:rsid w:val="2910216F"/>
    <w:rsid w:val="29577127"/>
    <w:rsid w:val="29791AAF"/>
    <w:rsid w:val="298B4C30"/>
    <w:rsid w:val="29BC4F34"/>
    <w:rsid w:val="29CA6F29"/>
    <w:rsid w:val="29EC4E11"/>
    <w:rsid w:val="29EC7ED9"/>
    <w:rsid w:val="2A231798"/>
    <w:rsid w:val="2A311F7E"/>
    <w:rsid w:val="2A452E67"/>
    <w:rsid w:val="2A704224"/>
    <w:rsid w:val="2A742460"/>
    <w:rsid w:val="2A742F20"/>
    <w:rsid w:val="2A890A66"/>
    <w:rsid w:val="2A934F07"/>
    <w:rsid w:val="2A94034A"/>
    <w:rsid w:val="2A9B2D40"/>
    <w:rsid w:val="2AA87FB3"/>
    <w:rsid w:val="2AAA74BB"/>
    <w:rsid w:val="2AAE13D6"/>
    <w:rsid w:val="2AB12AB8"/>
    <w:rsid w:val="2AE6699B"/>
    <w:rsid w:val="2AED3A40"/>
    <w:rsid w:val="2AEF2CFF"/>
    <w:rsid w:val="2AF34451"/>
    <w:rsid w:val="2AF9391B"/>
    <w:rsid w:val="2B033763"/>
    <w:rsid w:val="2B061617"/>
    <w:rsid w:val="2B36038D"/>
    <w:rsid w:val="2B4F2918"/>
    <w:rsid w:val="2B5117A1"/>
    <w:rsid w:val="2B537072"/>
    <w:rsid w:val="2B6F1F7A"/>
    <w:rsid w:val="2B70016B"/>
    <w:rsid w:val="2B7B4FB8"/>
    <w:rsid w:val="2B925B4E"/>
    <w:rsid w:val="2B933723"/>
    <w:rsid w:val="2B9F1434"/>
    <w:rsid w:val="2BE21C33"/>
    <w:rsid w:val="2BF040C2"/>
    <w:rsid w:val="2C3038E2"/>
    <w:rsid w:val="2C73312A"/>
    <w:rsid w:val="2C79451B"/>
    <w:rsid w:val="2C8143B2"/>
    <w:rsid w:val="2CC32DB9"/>
    <w:rsid w:val="2D024EA9"/>
    <w:rsid w:val="2D1B66AC"/>
    <w:rsid w:val="2D26172A"/>
    <w:rsid w:val="2D2E1F6D"/>
    <w:rsid w:val="2D455687"/>
    <w:rsid w:val="2D4830F6"/>
    <w:rsid w:val="2DB56A30"/>
    <w:rsid w:val="2DD3778C"/>
    <w:rsid w:val="2DE07AF3"/>
    <w:rsid w:val="2DEE1CF4"/>
    <w:rsid w:val="2E222594"/>
    <w:rsid w:val="2E232848"/>
    <w:rsid w:val="2E53220F"/>
    <w:rsid w:val="2E550E93"/>
    <w:rsid w:val="2E5F722C"/>
    <w:rsid w:val="2E8E764B"/>
    <w:rsid w:val="2EA431F8"/>
    <w:rsid w:val="2EB84FAB"/>
    <w:rsid w:val="2F144D42"/>
    <w:rsid w:val="2F2B7916"/>
    <w:rsid w:val="300C1F6A"/>
    <w:rsid w:val="30296F22"/>
    <w:rsid w:val="303A4647"/>
    <w:rsid w:val="30964280"/>
    <w:rsid w:val="30E256BA"/>
    <w:rsid w:val="30F10D84"/>
    <w:rsid w:val="30F66251"/>
    <w:rsid w:val="31306918"/>
    <w:rsid w:val="31450972"/>
    <w:rsid w:val="31525584"/>
    <w:rsid w:val="316717EC"/>
    <w:rsid w:val="316949E2"/>
    <w:rsid w:val="319E5302"/>
    <w:rsid w:val="31A02330"/>
    <w:rsid w:val="31DA5D1A"/>
    <w:rsid w:val="321E0405"/>
    <w:rsid w:val="32295A11"/>
    <w:rsid w:val="32523FE5"/>
    <w:rsid w:val="32B15945"/>
    <w:rsid w:val="32D47F79"/>
    <w:rsid w:val="33003094"/>
    <w:rsid w:val="332A10EA"/>
    <w:rsid w:val="33321DC5"/>
    <w:rsid w:val="333A716C"/>
    <w:rsid w:val="33512637"/>
    <w:rsid w:val="336914E2"/>
    <w:rsid w:val="336A7308"/>
    <w:rsid w:val="33BA4521"/>
    <w:rsid w:val="33BF26B0"/>
    <w:rsid w:val="33C500A7"/>
    <w:rsid w:val="33E24461"/>
    <w:rsid w:val="33E404D5"/>
    <w:rsid w:val="33FA7E4C"/>
    <w:rsid w:val="34111A1D"/>
    <w:rsid w:val="34184709"/>
    <w:rsid w:val="342A1D32"/>
    <w:rsid w:val="343A00A7"/>
    <w:rsid w:val="343B717B"/>
    <w:rsid w:val="343C4A21"/>
    <w:rsid w:val="345417DC"/>
    <w:rsid w:val="3468150C"/>
    <w:rsid w:val="34BC1632"/>
    <w:rsid w:val="34C338E0"/>
    <w:rsid w:val="34D34187"/>
    <w:rsid w:val="34EE28A7"/>
    <w:rsid w:val="34F20BC8"/>
    <w:rsid w:val="35131AFF"/>
    <w:rsid w:val="351B280D"/>
    <w:rsid w:val="35332902"/>
    <w:rsid w:val="35355170"/>
    <w:rsid w:val="35483057"/>
    <w:rsid w:val="35487E35"/>
    <w:rsid w:val="35603466"/>
    <w:rsid w:val="356868E6"/>
    <w:rsid w:val="356D4928"/>
    <w:rsid w:val="35986EF4"/>
    <w:rsid w:val="35A8747D"/>
    <w:rsid w:val="35C52C0E"/>
    <w:rsid w:val="35E564AC"/>
    <w:rsid w:val="35F25E2E"/>
    <w:rsid w:val="35FF75F6"/>
    <w:rsid w:val="360503FF"/>
    <w:rsid w:val="361B1EA0"/>
    <w:rsid w:val="363F53B9"/>
    <w:rsid w:val="366F602B"/>
    <w:rsid w:val="36760AE3"/>
    <w:rsid w:val="3693461D"/>
    <w:rsid w:val="369B0E73"/>
    <w:rsid w:val="36A9737A"/>
    <w:rsid w:val="36BA6A66"/>
    <w:rsid w:val="36CC404A"/>
    <w:rsid w:val="36D148C3"/>
    <w:rsid w:val="370A3C3C"/>
    <w:rsid w:val="37642235"/>
    <w:rsid w:val="377011F1"/>
    <w:rsid w:val="37DF0FD6"/>
    <w:rsid w:val="37EF2324"/>
    <w:rsid w:val="37FC447C"/>
    <w:rsid w:val="380C3C48"/>
    <w:rsid w:val="38180D08"/>
    <w:rsid w:val="381C6659"/>
    <w:rsid w:val="383717CA"/>
    <w:rsid w:val="383B6F63"/>
    <w:rsid w:val="38431569"/>
    <w:rsid w:val="38507957"/>
    <w:rsid w:val="389E4D32"/>
    <w:rsid w:val="38B53E6C"/>
    <w:rsid w:val="38BC525D"/>
    <w:rsid w:val="38E8069E"/>
    <w:rsid w:val="38EF0DD6"/>
    <w:rsid w:val="38FF6FCA"/>
    <w:rsid w:val="39000D3B"/>
    <w:rsid w:val="39157E5B"/>
    <w:rsid w:val="39356A98"/>
    <w:rsid w:val="39552092"/>
    <w:rsid w:val="39571E94"/>
    <w:rsid w:val="396A0F16"/>
    <w:rsid w:val="39731A18"/>
    <w:rsid w:val="39731BFB"/>
    <w:rsid w:val="39937693"/>
    <w:rsid w:val="39A04A53"/>
    <w:rsid w:val="39B77313"/>
    <w:rsid w:val="39C6398C"/>
    <w:rsid w:val="39DB3AA3"/>
    <w:rsid w:val="39E7382D"/>
    <w:rsid w:val="39F41EF8"/>
    <w:rsid w:val="3A3D1E2F"/>
    <w:rsid w:val="3A5077E8"/>
    <w:rsid w:val="3A7A14BA"/>
    <w:rsid w:val="3A8A4006"/>
    <w:rsid w:val="3AA86BED"/>
    <w:rsid w:val="3AAF28D8"/>
    <w:rsid w:val="3AB85A69"/>
    <w:rsid w:val="3AD40FFE"/>
    <w:rsid w:val="3ADA4C85"/>
    <w:rsid w:val="3ADD678C"/>
    <w:rsid w:val="3B154C43"/>
    <w:rsid w:val="3B872716"/>
    <w:rsid w:val="3B8A2F98"/>
    <w:rsid w:val="3B8F2F3D"/>
    <w:rsid w:val="3B9C2B4C"/>
    <w:rsid w:val="3BAE25B2"/>
    <w:rsid w:val="3BBC1505"/>
    <w:rsid w:val="3BC8113A"/>
    <w:rsid w:val="3BED1919"/>
    <w:rsid w:val="3C5F0951"/>
    <w:rsid w:val="3C6404DC"/>
    <w:rsid w:val="3C6562F8"/>
    <w:rsid w:val="3C855A3B"/>
    <w:rsid w:val="3CA90DA3"/>
    <w:rsid w:val="3CB930EC"/>
    <w:rsid w:val="3CCC3084"/>
    <w:rsid w:val="3CD21AD9"/>
    <w:rsid w:val="3D454FA9"/>
    <w:rsid w:val="3D5D4FCB"/>
    <w:rsid w:val="3D654592"/>
    <w:rsid w:val="3D722858"/>
    <w:rsid w:val="3D785246"/>
    <w:rsid w:val="3D964188"/>
    <w:rsid w:val="3D9C33B6"/>
    <w:rsid w:val="3DBD6F0A"/>
    <w:rsid w:val="3DCA6D2D"/>
    <w:rsid w:val="3DE61C1E"/>
    <w:rsid w:val="3DF56B98"/>
    <w:rsid w:val="3E0B2773"/>
    <w:rsid w:val="3E2254B5"/>
    <w:rsid w:val="3E791B98"/>
    <w:rsid w:val="3E7E0354"/>
    <w:rsid w:val="3F077097"/>
    <w:rsid w:val="3F1943DC"/>
    <w:rsid w:val="3F2B045D"/>
    <w:rsid w:val="3F4D072F"/>
    <w:rsid w:val="3F942277"/>
    <w:rsid w:val="3FA569F4"/>
    <w:rsid w:val="3FC94B31"/>
    <w:rsid w:val="3FDA6ED1"/>
    <w:rsid w:val="3FE14681"/>
    <w:rsid w:val="3FF730B8"/>
    <w:rsid w:val="3FFA581D"/>
    <w:rsid w:val="40065D60"/>
    <w:rsid w:val="404057D9"/>
    <w:rsid w:val="404F3294"/>
    <w:rsid w:val="408A2826"/>
    <w:rsid w:val="4096683F"/>
    <w:rsid w:val="40B5297B"/>
    <w:rsid w:val="40C30666"/>
    <w:rsid w:val="414579A4"/>
    <w:rsid w:val="41634DBC"/>
    <w:rsid w:val="41741AB5"/>
    <w:rsid w:val="418064CC"/>
    <w:rsid w:val="419F3266"/>
    <w:rsid w:val="41A527E4"/>
    <w:rsid w:val="41D02E4D"/>
    <w:rsid w:val="41DC1E3C"/>
    <w:rsid w:val="41F07079"/>
    <w:rsid w:val="41F76562"/>
    <w:rsid w:val="4200610A"/>
    <w:rsid w:val="421C4640"/>
    <w:rsid w:val="42354C69"/>
    <w:rsid w:val="42494FEF"/>
    <w:rsid w:val="42743801"/>
    <w:rsid w:val="4276668E"/>
    <w:rsid w:val="42892662"/>
    <w:rsid w:val="42A628BE"/>
    <w:rsid w:val="42A84184"/>
    <w:rsid w:val="42CA752D"/>
    <w:rsid w:val="42CE3129"/>
    <w:rsid w:val="42E7679D"/>
    <w:rsid w:val="430D30B7"/>
    <w:rsid w:val="431A2364"/>
    <w:rsid w:val="431D0DFD"/>
    <w:rsid w:val="43311EFA"/>
    <w:rsid w:val="43592A8F"/>
    <w:rsid w:val="436733EF"/>
    <w:rsid w:val="437E3869"/>
    <w:rsid w:val="43834EB9"/>
    <w:rsid w:val="43943516"/>
    <w:rsid w:val="43947466"/>
    <w:rsid w:val="43A4490E"/>
    <w:rsid w:val="43B07C4D"/>
    <w:rsid w:val="44007DB2"/>
    <w:rsid w:val="44082E9E"/>
    <w:rsid w:val="440C39F8"/>
    <w:rsid w:val="444517FC"/>
    <w:rsid w:val="444621E7"/>
    <w:rsid w:val="44710C82"/>
    <w:rsid w:val="447D78E9"/>
    <w:rsid w:val="44814826"/>
    <w:rsid w:val="44843D9C"/>
    <w:rsid w:val="44964A1E"/>
    <w:rsid w:val="44AD695C"/>
    <w:rsid w:val="44B8127D"/>
    <w:rsid w:val="44B82C33"/>
    <w:rsid w:val="44BC266E"/>
    <w:rsid w:val="44E65BBB"/>
    <w:rsid w:val="44EC5989"/>
    <w:rsid w:val="44F527A9"/>
    <w:rsid w:val="4502662B"/>
    <w:rsid w:val="45221D1C"/>
    <w:rsid w:val="453600A2"/>
    <w:rsid w:val="45591D91"/>
    <w:rsid w:val="45656F07"/>
    <w:rsid w:val="459344DD"/>
    <w:rsid w:val="45952A36"/>
    <w:rsid w:val="459D53B9"/>
    <w:rsid w:val="45B83584"/>
    <w:rsid w:val="45B97E77"/>
    <w:rsid w:val="45C05CF1"/>
    <w:rsid w:val="45C52176"/>
    <w:rsid w:val="45E970E0"/>
    <w:rsid w:val="461A123D"/>
    <w:rsid w:val="461B550D"/>
    <w:rsid w:val="461E529B"/>
    <w:rsid w:val="46286851"/>
    <w:rsid w:val="46356640"/>
    <w:rsid w:val="46393B37"/>
    <w:rsid w:val="463B34D3"/>
    <w:rsid w:val="46454F2C"/>
    <w:rsid w:val="466E68E2"/>
    <w:rsid w:val="467639CA"/>
    <w:rsid w:val="468868E1"/>
    <w:rsid w:val="46971E81"/>
    <w:rsid w:val="46D04209"/>
    <w:rsid w:val="46E5661A"/>
    <w:rsid w:val="46FA22A7"/>
    <w:rsid w:val="47056438"/>
    <w:rsid w:val="470C00B4"/>
    <w:rsid w:val="474F2227"/>
    <w:rsid w:val="47531558"/>
    <w:rsid w:val="476D4FB6"/>
    <w:rsid w:val="478165BB"/>
    <w:rsid w:val="478C4701"/>
    <w:rsid w:val="48005193"/>
    <w:rsid w:val="480D1FDA"/>
    <w:rsid w:val="480D71FB"/>
    <w:rsid w:val="482207AE"/>
    <w:rsid w:val="48323F4E"/>
    <w:rsid w:val="48331B5A"/>
    <w:rsid w:val="48345119"/>
    <w:rsid w:val="486B7FEC"/>
    <w:rsid w:val="48822070"/>
    <w:rsid w:val="488B428D"/>
    <w:rsid w:val="488E4159"/>
    <w:rsid w:val="48943ED1"/>
    <w:rsid w:val="489C2C44"/>
    <w:rsid w:val="48B405A6"/>
    <w:rsid w:val="48C84B35"/>
    <w:rsid w:val="48CB22DE"/>
    <w:rsid w:val="48D871FA"/>
    <w:rsid w:val="48DB4769"/>
    <w:rsid w:val="48DC51FC"/>
    <w:rsid w:val="48E9313D"/>
    <w:rsid w:val="48ED1C58"/>
    <w:rsid w:val="491D4EA1"/>
    <w:rsid w:val="492905E3"/>
    <w:rsid w:val="49304F1B"/>
    <w:rsid w:val="49327101"/>
    <w:rsid w:val="493E2FEF"/>
    <w:rsid w:val="4951725B"/>
    <w:rsid w:val="49662446"/>
    <w:rsid w:val="497B4400"/>
    <w:rsid w:val="49947AC1"/>
    <w:rsid w:val="49E16F62"/>
    <w:rsid w:val="49EA45DE"/>
    <w:rsid w:val="49F7567C"/>
    <w:rsid w:val="4A5A252F"/>
    <w:rsid w:val="4A6644EF"/>
    <w:rsid w:val="4AAF12B6"/>
    <w:rsid w:val="4AC91241"/>
    <w:rsid w:val="4ADF644E"/>
    <w:rsid w:val="4AE85C9A"/>
    <w:rsid w:val="4AF33C94"/>
    <w:rsid w:val="4B0168C1"/>
    <w:rsid w:val="4B04542F"/>
    <w:rsid w:val="4B085B2D"/>
    <w:rsid w:val="4B3735D0"/>
    <w:rsid w:val="4B4138FC"/>
    <w:rsid w:val="4B545532"/>
    <w:rsid w:val="4B885595"/>
    <w:rsid w:val="4B9415D5"/>
    <w:rsid w:val="4BD02BA1"/>
    <w:rsid w:val="4C0A7C39"/>
    <w:rsid w:val="4C0C74CB"/>
    <w:rsid w:val="4C1C0715"/>
    <w:rsid w:val="4C60491E"/>
    <w:rsid w:val="4C87504D"/>
    <w:rsid w:val="4C9E42EB"/>
    <w:rsid w:val="4CA46A59"/>
    <w:rsid w:val="4CA47542"/>
    <w:rsid w:val="4CA64C84"/>
    <w:rsid w:val="4CB83994"/>
    <w:rsid w:val="4CBD61C1"/>
    <w:rsid w:val="4CCC551B"/>
    <w:rsid w:val="4CD946D0"/>
    <w:rsid w:val="4CED6CD8"/>
    <w:rsid w:val="4CFC3A9D"/>
    <w:rsid w:val="4D00191C"/>
    <w:rsid w:val="4D0829C5"/>
    <w:rsid w:val="4D0E32D5"/>
    <w:rsid w:val="4D114B69"/>
    <w:rsid w:val="4D1D46DC"/>
    <w:rsid w:val="4D275CD8"/>
    <w:rsid w:val="4D630988"/>
    <w:rsid w:val="4D7256D9"/>
    <w:rsid w:val="4D775BD1"/>
    <w:rsid w:val="4D9876B0"/>
    <w:rsid w:val="4DB26F44"/>
    <w:rsid w:val="4DCB0934"/>
    <w:rsid w:val="4DDA1026"/>
    <w:rsid w:val="4DF15AFB"/>
    <w:rsid w:val="4DF65D26"/>
    <w:rsid w:val="4E2C2855"/>
    <w:rsid w:val="4E5179ED"/>
    <w:rsid w:val="4E545FDF"/>
    <w:rsid w:val="4E5B48CB"/>
    <w:rsid w:val="4E7A1C70"/>
    <w:rsid w:val="4E8226A9"/>
    <w:rsid w:val="4E993D74"/>
    <w:rsid w:val="4EA52E00"/>
    <w:rsid w:val="4EC109B7"/>
    <w:rsid w:val="4EC807C2"/>
    <w:rsid w:val="4EE10606"/>
    <w:rsid w:val="4EE22496"/>
    <w:rsid w:val="4F1F5A7D"/>
    <w:rsid w:val="4F3A66BF"/>
    <w:rsid w:val="4F3E0AEE"/>
    <w:rsid w:val="4F4A4786"/>
    <w:rsid w:val="4F5E0CD8"/>
    <w:rsid w:val="4F852FFC"/>
    <w:rsid w:val="4FAE6FA3"/>
    <w:rsid w:val="4FDA06D6"/>
    <w:rsid w:val="4FDD196D"/>
    <w:rsid w:val="4FEB76F4"/>
    <w:rsid w:val="4FFC4F32"/>
    <w:rsid w:val="5012124C"/>
    <w:rsid w:val="501327D3"/>
    <w:rsid w:val="502559CC"/>
    <w:rsid w:val="50335254"/>
    <w:rsid w:val="50540CD1"/>
    <w:rsid w:val="5083736C"/>
    <w:rsid w:val="50934565"/>
    <w:rsid w:val="509A1AED"/>
    <w:rsid w:val="50A97B82"/>
    <w:rsid w:val="50C74762"/>
    <w:rsid w:val="50F236AE"/>
    <w:rsid w:val="50F97D79"/>
    <w:rsid w:val="51125177"/>
    <w:rsid w:val="513F65A3"/>
    <w:rsid w:val="5196664D"/>
    <w:rsid w:val="51A145AD"/>
    <w:rsid w:val="51A71CA4"/>
    <w:rsid w:val="51C07E42"/>
    <w:rsid w:val="51F40419"/>
    <w:rsid w:val="51F8078C"/>
    <w:rsid w:val="521A4FE6"/>
    <w:rsid w:val="524F06F3"/>
    <w:rsid w:val="526E164B"/>
    <w:rsid w:val="52730A95"/>
    <w:rsid w:val="528034E0"/>
    <w:rsid w:val="529E17D5"/>
    <w:rsid w:val="52DB2B18"/>
    <w:rsid w:val="531A1846"/>
    <w:rsid w:val="531F2BE6"/>
    <w:rsid w:val="53326253"/>
    <w:rsid w:val="535C2685"/>
    <w:rsid w:val="5373079B"/>
    <w:rsid w:val="53765AE5"/>
    <w:rsid w:val="53782946"/>
    <w:rsid w:val="53A8671C"/>
    <w:rsid w:val="53D448BC"/>
    <w:rsid w:val="54070DAF"/>
    <w:rsid w:val="54081A6A"/>
    <w:rsid w:val="541A629D"/>
    <w:rsid w:val="541B54DE"/>
    <w:rsid w:val="543075E1"/>
    <w:rsid w:val="543519D0"/>
    <w:rsid w:val="5460574F"/>
    <w:rsid w:val="547571FD"/>
    <w:rsid w:val="548F5D64"/>
    <w:rsid w:val="54901E22"/>
    <w:rsid w:val="54D85456"/>
    <w:rsid w:val="54E126FF"/>
    <w:rsid w:val="54FF1A31"/>
    <w:rsid w:val="55191533"/>
    <w:rsid w:val="55225082"/>
    <w:rsid w:val="55447184"/>
    <w:rsid w:val="55795E52"/>
    <w:rsid w:val="55817B53"/>
    <w:rsid w:val="55F51257"/>
    <w:rsid w:val="55FE2BB6"/>
    <w:rsid w:val="5634432C"/>
    <w:rsid w:val="56432072"/>
    <w:rsid w:val="564C63D1"/>
    <w:rsid w:val="565B5BD4"/>
    <w:rsid w:val="568247FD"/>
    <w:rsid w:val="568C627C"/>
    <w:rsid w:val="56972991"/>
    <w:rsid w:val="56A9204B"/>
    <w:rsid w:val="56AF060C"/>
    <w:rsid w:val="56D36538"/>
    <w:rsid w:val="56EB5116"/>
    <w:rsid w:val="57195663"/>
    <w:rsid w:val="57347856"/>
    <w:rsid w:val="57487304"/>
    <w:rsid w:val="57574E37"/>
    <w:rsid w:val="577575CF"/>
    <w:rsid w:val="577F7532"/>
    <w:rsid w:val="57A75366"/>
    <w:rsid w:val="57B005B9"/>
    <w:rsid w:val="57CC2DB1"/>
    <w:rsid w:val="57DA63B2"/>
    <w:rsid w:val="57E43E51"/>
    <w:rsid w:val="57FB28E1"/>
    <w:rsid w:val="581A3A9D"/>
    <w:rsid w:val="582071CF"/>
    <w:rsid w:val="58245172"/>
    <w:rsid w:val="58404F39"/>
    <w:rsid w:val="586576CE"/>
    <w:rsid w:val="5879122C"/>
    <w:rsid w:val="58A83768"/>
    <w:rsid w:val="58C34404"/>
    <w:rsid w:val="58C44FEE"/>
    <w:rsid w:val="591B1FA3"/>
    <w:rsid w:val="59537654"/>
    <w:rsid w:val="596E26F3"/>
    <w:rsid w:val="597225A2"/>
    <w:rsid w:val="59C95DBF"/>
    <w:rsid w:val="5A024753"/>
    <w:rsid w:val="5A1A5687"/>
    <w:rsid w:val="5A32308B"/>
    <w:rsid w:val="5A7802B4"/>
    <w:rsid w:val="5A857801"/>
    <w:rsid w:val="5ABD0C6B"/>
    <w:rsid w:val="5AE11858"/>
    <w:rsid w:val="5AE4228F"/>
    <w:rsid w:val="5AE43323"/>
    <w:rsid w:val="5AE975ED"/>
    <w:rsid w:val="5AF108C2"/>
    <w:rsid w:val="5B2C00C9"/>
    <w:rsid w:val="5B4E2D34"/>
    <w:rsid w:val="5B622483"/>
    <w:rsid w:val="5B626F9C"/>
    <w:rsid w:val="5B7A4A91"/>
    <w:rsid w:val="5BC01D1F"/>
    <w:rsid w:val="5BCD294E"/>
    <w:rsid w:val="5C0C3406"/>
    <w:rsid w:val="5C1A0C08"/>
    <w:rsid w:val="5C55146B"/>
    <w:rsid w:val="5C5F7DD5"/>
    <w:rsid w:val="5C7A61A0"/>
    <w:rsid w:val="5C804AF1"/>
    <w:rsid w:val="5C964FDD"/>
    <w:rsid w:val="5CFA4151"/>
    <w:rsid w:val="5D052872"/>
    <w:rsid w:val="5D685138"/>
    <w:rsid w:val="5D8E3CF0"/>
    <w:rsid w:val="5D953646"/>
    <w:rsid w:val="5DA14D10"/>
    <w:rsid w:val="5E0225A7"/>
    <w:rsid w:val="5E1464BE"/>
    <w:rsid w:val="5E222A55"/>
    <w:rsid w:val="5E33126B"/>
    <w:rsid w:val="5E50166B"/>
    <w:rsid w:val="5E5B4CD2"/>
    <w:rsid w:val="5E65164F"/>
    <w:rsid w:val="5E6A3780"/>
    <w:rsid w:val="5E881938"/>
    <w:rsid w:val="5EAA5A14"/>
    <w:rsid w:val="5EAF293B"/>
    <w:rsid w:val="5EBC4840"/>
    <w:rsid w:val="5ECE1301"/>
    <w:rsid w:val="5ECF213A"/>
    <w:rsid w:val="5EDD6451"/>
    <w:rsid w:val="5EE7648B"/>
    <w:rsid w:val="5F104F2D"/>
    <w:rsid w:val="5F111DAD"/>
    <w:rsid w:val="5F2B04D9"/>
    <w:rsid w:val="5F4E7B13"/>
    <w:rsid w:val="5F8A4DC7"/>
    <w:rsid w:val="5F9D6647"/>
    <w:rsid w:val="5FE617E3"/>
    <w:rsid w:val="60181B1F"/>
    <w:rsid w:val="6087559A"/>
    <w:rsid w:val="609A0E74"/>
    <w:rsid w:val="609E3336"/>
    <w:rsid w:val="60A070E3"/>
    <w:rsid w:val="614E715D"/>
    <w:rsid w:val="6187106C"/>
    <w:rsid w:val="618D43FB"/>
    <w:rsid w:val="61B01C64"/>
    <w:rsid w:val="61CD57D2"/>
    <w:rsid w:val="61DF0D88"/>
    <w:rsid w:val="61E35F23"/>
    <w:rsid w:val="61FE04EF"/>
    <w:rsid w:val="62052493"/>
    <w:rsid w:val="62087A99"/>
    <w:rsid w:val="623D46C6"/>
    <w:rsid w:val="624A3A6A"/>
    <w:rsid w:val="6256372C"/>
    <w:rsid w:val="62677151"/>
    <w:rsid w:val="62A825BD"/>
    <w:rsid w:val="62C41545"/>
    <w:rsid w:val="62C4290E"/>
    <w:rsid w:val="62D40523"/>
    <w:rsid w:val="62DC56CA"/>
    <w:rsid w:val="62F22329"/>
    <w:rsid w:val="630A1820"/>
    <w:rsid w:val="631C60BE"/>
    <w:rsid w:val="633655BC"/>
    <w:rsid w:val="634B2155"/>
    <w:rsid w:val="635107EC"/>
    <w:rsid w:val="635E4B8B"/>
    <w:rsid w:val="637B29F0"/>
    <w:rsid w:val="638E2AE4"/>
    <w:rsid w:val="63961AED"/>
    <w:rsid w:val="63A32F4C"/>
    <w:rsid w:val="63A739F6"/>
    <w:rsid w:val="63BB7D06"/>
    <w:rsid w:val="63CB1C09"/>
    <w:rsid w:val="63E238E5"/>
    <w:rsid w:val="63E4350D"/>
    <w:rsid w:val="63FA61F6"/>
    <w:rsid w:val="64170169"/>
    <w:rsid w:val="64253F17"/>
    <w:rsid w:val="642C1B68"/>
    <w:rsid w:val="643B5D79"/>
    <w:rsid w:val="644536C6"/>
    <w:rsid w:val="644C277F"/>
    <w:rsid w:val="64771E48"/>
    <w:rsid w:val="647D3A9B"/>
    <w:rsid w:val="64A951F5"/>
    <w:rsid w:val="64C63556"/>
    <w:rsid w:val="64DD272D"/>
    <w:rsid w:val="64F1089B"/>
    <w:rsid w:val="651069DC"/>
    <w:rsid w:val="65151AE6"/>
    <w:rsid w:val="6529241F"/>
    <w:rsid w:val="65292CC6"/>
    <w:rsid w:val="656911C7"/>
    <w:rsid w:val="657F1902"/>
    <w:rsid w:val="658C09A3"/>
    <w:rsid w:val="658F5FDF"/>
    <w:rsid w:val="65945C02"/>
    <w:rsid w:val="65A07041"/>
    <w:rsid w:val="65A07FB1"/>
    <w:rsid w:val="65AF2A17"/>
    <w:rsid w:val="65E20752"/>
    <w:rsid w:val="65EE091F"/>
    <w:rsid w:val="66132EBB"/>
    <w:rsid w:val="668A4FD1"/>
    <w:rsid w:val="66957EB4"/>
    <w:rsid w:val="66B060D6"/>
    <w:rsid w:val="66BD0CA2"/>
    <w:rsid w:val="66CA1D64"/>
    <w:rsid w:val="66DB6C48"/>
    <w:rsid w:val="66E13D9D"/>
    <w:rsid w:val="66F60C3B"/>
    <w:rsid w:val="66FF0179"/>
    <w:rsid w:val="670510F1"/>
    <w:rsid w:val="672E3342"/>
    <w:rsid w:val="674A4DA4"/>
    <w:rsid w:val="674E7994"/>
    <w:rsid w:val="674F35A3"/>
    <w:rsid w:val="67937D37"/>
    <w:rsid w:val="679821F2"/>
    <w:rsid w:val="67A34219"/>
    <w:rsid w:val="67A6288C"/>
    <w:rsid w:val="67AA1ABB"/>
    <w:rsid w:val="67C03772"/>
    <w:rsid w:val="68077ADB"/>
    <w:rsid w:val="681D5D7A"/>
    <w:rsid w:val="6852695E"/>
    <w:rsid w:val="6856648B"/>
    <w:rsid w:val="689756AB"/>
    <w:rsid w:val="68D822ED"/>
    <w:rsid w:val="68EC2FAB"/>
    <w:rsid w:val="68F12446"/>
    <w:rsid w:val="69243B76"/>
    <w:rsid w:val="692D6BBF"/>
    <w:rsid w:val="693337BA"/>
    <w:rsid w:val="696D2E54"/>
    <w:rsid w:val="699D2D6A"/>
    <w:rsid w:val="69A3613F"/>
    <w:rsid w:val="69AA1961"/>
    <w:rsid w:val="69AB166E"/>
    <w:rsid w:val="69C90A59"/>
    <w:rsid w:val="69DA5689"/>
    <w:rsid w:val="69ED0AD4"/>
    <w:rsid w:val="69ED689A"/>
    <w:rsid w:val="6A2D0E4C"/>
    <w:rsid w:val="6A4C0590"/>
    <w:rsid w:val="6A5A02AF"/>
    <w:rsid w:val="6A7106D2"/>
    <w:rsid w:val="6A79214D"/>
    <w:rsid w:val="6A7D4677"/>
    <w:rsid w:val="6A7F263B"/>
    <w:rsid w:val="6AAE6407"/>
    <w:rsid w:val="6AB47EC0"/>
    <w:rsid w:val="6AC42DFA"/>
    <w:rsid w:val="6AD42759"/>
    <w:rsid w:val="6AFD287F"/>
    <w:rsid w:val="6B3D34D2"/>
    <w:rsid w:val="6B585FFE"/>
    <w:rsid w:val="6B6F5F54"/>
    <w:rsid w:val="6B773473"/>
    <w:rsid w:val="6B7F50DF"/>
    <w:rsid w:val="6BB138AA"/>
    <w:rsid w:val="6BC57D25"/>
    <w:rsid w:val="6BF9559F"/>
    <w:rsid w:val="6C057B42"/>
    <w:rsid w:val="6C0A62FF"/>
    <w:rsid w:val="6C51442F"/>
    <w:rsid w:val="6C6B4DF3"/>
    <w:rsid w:val="6C81474E"/>
    <w:rsid w:val="6C8B1E74"/>
    <w:rsid w:val="6CF2689E"/>
    <w:rsid w:val="6D056BB6"/>
    <w:rsid w:val="6D094D78"/>
    <w:rsid w:val="6D1B7AD7"/>
    <w:rsid w:val="6D302EC3"/>
    <w:rsid w:val="6D4E7229"/>
    <w:rsid w:val="6D6B0ECF"/>
    <w:rsid w:val="6D856910"/>
    <w:rsid w:val="6DCA05CC"/>
    <w:rsid w:val="6E095634"/>
    <w:rsid w:val="6E135FD1"/>
    <w:rsid w:val="6E17600A"/>
    <w:rsid w:val="6E221F0A"/>
    <w:rsid w:val="6E607EE5"/>
    <w:rsid w:val="6E7560D3"/>
    <w:rsid w:val="6EAD3F48"/>
    <w:rsid w:val="6EDD3A0D"/>
    <w:rsid w:val="6F003768"/>
    <w:rsid w:val="6F0F614D"/>
    <w:rsid w:val="6F122562"/>
    <w:rsid w:val="6F155574"/>
    <w:rsid w:val="6F3E3780"/>
    <w:rsid w:val="6F7549DD"/>
    <w:rsid w:val="6F873FFB"/>
    <w:rsid w:val="6F993B47"/>
    <w:rsid w:val="6FA46A57"/>
    <w:rsid w:val="6FA9505C"/>
    <w:rsid w:val="6FAE7877"/>
    <w:rsid w:val="6FBB7144"/>
    <w:rsid w:val="6FF2376A"/>
    <w:rsid w:val="6FF8560C"/>
    <w:rsid w:val="700D7C43"/>
    <w:rsid w:val="70134CDD"/>
    <w:rsid w:val="701A064E"/>
    <w:rsid w:val="70416BD1"/>
    <w:rsid w:val="7071134A"/>
    <w:rsid w:val="70E026FB"/>
    <w:rsid w:val="70E752F8"/>
    <w:rsid w:val="70F76F75"/>
    <w:rsid w:val="710812C4"/>
    <w:rsid w:val="711027CE"/>
    <w:rsid w:val="711711BC"/>
    <w:rsid w:val="712A7E2A"/>
    <w:rsid w:val="71466106"/>
    <w:rsid w:val="71606F7D"/>
    <w:rsid w:val="7161486B"/>
    <w:rsid w:val="716330D9"/>
    <w:rsid w:val="716B020C"/>
    <w:rsid w:val="719C69BC"/>
    <w:rsid w:val="71AA2B49"/>
    <w:rsid w:val="71CA01C9"/>
    <w:rsid w:val="71FE73D7"/>
    <w:rsid w:val="72203063"/>
    <w:rsid w:val="7220781B"/>
    <w:rsid w:val="72326F11"/>
    <w:rsid w:val="724D6996"/>
    <w:rsid w:val="727135C0"/>
    <w:rsid w:val="728022FA"/>
    <w:rsid w:val="72836CB4"/>
    <w:rsid w:val="72C05A3B"/>
    <w:rsid w:val="72C5712D"/>
    <w:rsid w:val="72CA5CCB"/>
    <w:rsid w:val="72E570F3"/>
    <w:rsid w:val="72FB7865"/>
    <w:rsid w:val="730540A0"/>
    <w:rsid w:val="73090122"/>
    <w:rsid w:val="73107D93"/>
    <w:rsid w:val="735804CF"/>
    <w:rsid w:val="735D7D45"/>
    <w:rsid w:val="73671E39"/>
    <w:rsid w:val="73781132"/>
    <w:rsid w:val="738B6895"/>
    <w:rsid w:val="73B0610A"/>
    <w:rsid w:val="73CA5DB5"/>
    <w:rsid w:val="73D55078"/>
    <w:rsid w:val="740169B4"/>
    <w:rsid w:val="74037F1C"/>
    <w:rsid w:val="7427675E"/>
    <w:rsid w:val="74564BC1"/>
    <w:rsid w:val="745C7602"/>
    <w:rsid w:val="745D589E"/>
    <w:rsid w:val="74600AE1"/>
    <w:rsid w:val="7461192C"/>
    <w:rsid w:val="747F5BC0"/>
    <w:rsid w:val="7493595E"/>
    <w:rsid w:val="74B80880"/>
    <w:rsid w:val="74DF718C"/>
    <w:rsid w:val="74F74FC0"/>
    <w:rsid w:val="7515319C"/>
    <w:rsid w:val="75282C53"/>
    <w:rsid w:val="75285A0C"/>
    <w:rsid w:val="75652FE7"/>
    <w:rsid w:val="75B20B66"/>
    <w:rsid w:val="75BF7A19"/>
    <w:rsid w:val="75CE0D0D"/>
    <w:rsid w:val="75CF4B2F"/>
    <w:rsid w:val="75E30212"/>
    <w:rsid w:val="762A6451"/>
    <w:rsid w:val="76365E17"/>
    <w:rsid w:val="764E7EB6"/>
    <w:rsid w:val="765070EB"/>
    <w:rsid w:val="76863DFC"/>
    <w:rsid w:val="768D0614"/>
    <w:rsid w:val="76A566F8"/>
    <w:rsid w:val="76C01BA1"/>
    <w:rsid w:val="76C57737"/>
    <w:rsid w:val="76DF1508"/>
    <w:rsid w:val="76E17E69"/>
    <w:rsid w:val="770002AD"/>
    <w:rsid w:val="7717510A"/>
    <w:rsid w:val="771838B2"/>
    <w:rsid w:val="77237BF0"/>
    <w:rsid w:val="775238E4"/>
    <w:rsid w:val="775549E8"/>
    <w:rsid w:val="777F192F"/>
    <w:rsid w:val="77974AFF"/>
    <w:rsid w:val="77AC737C"/>
    <w:rsid w:val="77B73C2F"/>
    <w:rsid w:val="77DA7AB2"/>
    <w:rsid w:val="77DB1D6B"/>
    <w:rsid w:val="77F93D62"/>
    <w:rsid w:val="78241F50"/>
    <w:rsid w:val="786952CD"/>
    <w:rsid w:val="7872758A"/>
    <w:rsid w:val="78755B0B"/>
    <w:rsid w:val="787872C2"/>
    <w:rsid w:val="78807896"/>
    <w:rsid w:val="788754C4"/>
    <w:rsid w:val="78BC1FEC"/>
    <w:rsid w:val="78C95780"/>
    <w:rsid w:val="78CC32C9"/>
    <w:rsid w:val="78D50708"/>
    <w:rsid w:val="794313E2"/>
    <w:rsid w:val="79690E1A"/>
    <w:rsid w:val="79A86BF1"/>
    <w:rsid w:val="79CE3FDA"/>
    <w:rsid w:val="79E246FB"/>
    <w:rsid w:val="79E6008E"/>
    <w:rsid w:val="7A1006E5"/>
    <w:rsid w:val="7A16346C"/>
    <w:rsid w:val="7A1D7BF6"/>
    <w:rsid w:val="7A374DFF"/>
    <w:rsid w:val="7A3D675E"/>
    <w:rsid w:val="7A4A11AB"/>
    <w:rsid w:val="7A5353E2"/>
    <w:rsid w:val="7A6613C2"/>
    <w:rsid w:val="7A706DC4"/>
    <w:rsid w:val="7A8671EE"/>
    <w:rsid w:val="7A970AEB"/>
    <w:rsid w:val="7AA0733C"/>
    <w:rsid w:val="7AC01EDC"/>
    <w:rsid w:val="7AC265AF"/>
    <w:rsid w:val="7AE374AB"/>
    <w:rsid w:val="7B147B8A"/>
    <w:rsid w:val="7B21724E"/>
    <w:rsid w:val="7B5D5ACE"/>
    <w:rsid w:val="7B8E2547"/>
    <w:rsid w:val="7BBA5593"/>
    <w:rsid w:val="7BBE1DA1"/>
    <w:rsid w:val="7BE5478D"/>
    <w:rsid w:val="7C18673F"/>
    <w:rsid w:val="7C8B61A6"/>
    <w:rsid w:val="7C91296F"/>
    <w:rsid w:val="7CA13855"/>
    <w:rsid w:val="7CAE3217"/>
    <w:rsid w:val="7CC652AB"/>
    <w:rsid w:val="7CE27B05"/>
    <w:rsid w:val="7D080CFE"/>
    <w:rsid w:val="7D0F1B44"/>
    <w:rsid w:val="7D51050F"/>
    <w:rsid w:val="7D8C4B52"/>
    <w:rsid w:val="7DBF2073"/>
    <w:rsid w:val="7DEF9B99"/>
    <w:rsid w:val="7E1D20FE"/>
    <w:rsid w:val="7E265EF0"/>
    <w:rsid w:val="7E935CB9"/>
    <w:rsid w:val="7EA53C76"/>
    <w:rsid w:val="7EB37EC3"/>
    <w:rsid w:val="7EBF1E10"/>
    <w:rsid w:val="7ED61331"/>
    <w:rsid w:val="7EE170EF"/>
    <w:rsid w:val="7F0B0BAF"/>
    <w:rsid w:val="7F473233"/>
    <w:rsid w:val="7F4B1197"/>
    <w:rsid w:val="7F61350A"/>
    <w:rsid w:val="7F9A3FA3"/>
    <w:rsid w:val="7FC75CFD"/>
    <w:rsid w:val="7FCC56F1"/>
    <w:rsid w:val="7FCF1BE6"/>
    <w:rsid w:val="7FE8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spacing w:line="413" w:lineRule="auto"/>
      <w:jc w:val="both"/>
      <w:outlineLvl w:val="1"/>
    </w:pPr>
    <w:rPr>
      <w:rFonts w:ascii="Arial" w:hAnsi="Arial" w:eastAsia="黑体"/>
      <w:b/>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customStyle="1" w:styleId="6">
    <w:name w:val="主标题"/>
    <w:basedOn w:val="1"/>
    <w:qFormat/>
    <w:uiPriority w:val="0"/>
    <w:pPr>
      <w:spacing w:line="600" w:lineRule="exact"/>
      <w:jc w:val="center"/>
    </w:pPr>
    <w:rPr>
      <w:rFonts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2023-01-09T16:09:00Z</dcterms:created>
  <dc:creator>卉</dc:creator>
  <cp:lastModifiedBy>大莹</cp:lastModifiedBy>
  <dcterms:modified xsi:type="dcterms:W3CDTF">2024-01-18T13:55:27Z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015836EC578128854FBDA8653661353F_43</vt:lpwstr>
  </property>
</Properties>
</file>