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FEFAF">
      <w:pPr>
        <w:spacing w:line="360" w:lineRule="auto"/>
        <w:ind w:left="1080" w:leftChars="257" w:hanging="540"/>
        <w:jc w:val="center"/>
        <w:rPr>
          <w:rFonts w:ascii="宋体" w:hAnsi="宋体" w:cs="宋体"/>
          <w:b/>
          <w:color w:val="auto"/>
          <w:sz w:val="52"/>
          <w:szCs w:val="52"/>
          <w:highlight w:val="none"/>
        </w:rPr>
      </w:pPr>
      <w:bookmarkStart w:id="365" w:name="_GoBack"/>
      <w:bookmarkEnd w:id="365"/>
    </w:p>
    <w:p w14:paraId="720B56AD">
      <w:pPr>
        <w:spacing w:line="360" w:lineRule="auto"/>
        <w:ind w:left="1080" w:leftChars="257" w:hanging="540"/>
        <w:jc w:val="center"/>
        <w:rPr>
          <w:rFonts w:ascii="宋体" w:hAnsi="宋体" w:cs="宋体"/>
          <w:bCs/>
          <w:color w:val="auto"/>
          <w:sz w:val="52"/>
          <w:szCs w:val="52"/>
          <w:highlight w:val="none"/>
        </w:rPr>
      </w:pPr>
      <w:r>
        <w:rPr>
          <w:rFonts w:hint="eastAsia" w:ascii="宋体" w:hAnsi="宋体" w:cs="宋体"/>
          <w:bCs/>
          <w:color w:val="auto"/>
          <w:sz w:val="52"/>
          <w:szCs w:val="52"/>
          <w:highlight w:val="none"/>
        </w:rPr>
        <w:t>政府采购竞争性磋商文件</w:t>
      </w:r>
    </w:p>
    <w:p w14:paraId="118CEC02">
      <w:pPr>
        <w:spacing w:line="360" w:lineRule="auto"/>
        <w:ind w:left="1080" w:leftChars="257" w:hanging="540"/>
        <w:jc w:val="center"/>
        <w:rPr>
          <w:rFonts w:ascii="宋体" w:hAnsi="宋体" w:cs="宋体"/>
          <w:bCs/>
          <w:color w:val="auto"/>
          <w:sz w:val="32"/>
          <w:szCs w:val="32"/>
          <w:highlight w:val="none"/>
        </w:rPr>
      </w:pPr>
    </w:p>
    <w:p w14:paraId="75EDDFA7">
      <w:pPr>
        <w:spacing w:line="360" w:lineRule="auto"/>
        <w:ind w:left="1080" w:leftChars="257" w:hanging="540"/>
        <w:jc w:val="center"/>
        <w:rPr>
          <w:rFonts w:ascii="宋体" w:hAnsi="宋体" w:cs="宋体"/>
          <w:b/>
          <w:color w:val="auto"/>
          <w:sz w:val="32"/>
          <w:szCs w:val="32"/>
          <w:highlight w:val="none"/>
        </w:rPr>
      </w:pPr>
    </w:p>
    <w:p w14:paraId="20B171AA">
      <w:pPr>
        <w:spacing w:line="360" w:lineRule="auto"/>
        <w:ind w:left="1080" w:leftChars="257" w:hanging="540"/>
        <w:rPr>
          <w:rFonts w:ascii="宋体" w:hAnsi="宋体" w:cs="宋体"/>
          <w:b/>
          <w:color w:val="auto"/>
          <w:sz w:val="28"/>
          <w:highlight w:val="none"/>
        </w:rPr>
      </w:pPr>
    </w:p>
    <w:p w14:paraId="2201946A">
      <w:pPr>
        <w:spacing w:line="360" w:lineRule="auto"/>
        <w:ind w:left="1080" w:leftChars="257" w:hanging="540"/>
        <w:jc w:val="center"/>
        <w:rPr>
          <w:rFonts w:ascii="宋体" w:hAnsi="宋体" w:cs="宋体"/>
          <w:b/>
          <w:color w:val="auto"/>
          <w:sz w:val="36"/>
          <w:szCs w:val="36"/>
          <w:highlight w:val="none"/>
        </w:rPr>
      </w:pPr>
      <w:r>
        <w:rPr>
          <w:rFonts w:hint="eastAsia" w:ascii="宋体" w:hAnsi="宋体" w:cs="宋体"/>
          <w:b/>
          <w:color w:val="auto"/>
          <w:sz w:val="36"/>
          <w:szCs w:val="36"/>
          <w:highlight w:val="none"/>
        </w:rPr>
        <w:t>第一册</w:t>
      </w:r>
    </w:p>
    <w:p w14:paraId="19C2BD33">
      <w:pPr>
        <w:spacing w:line="360" w:lineRule="auto"/>
        <w:ind w:left="1080" w:leftChars="257" w:hanging="540"/>
        <w:jc w:val="center"/>
        <w:rPr>
          <w:rFonts w:ascii="宋体" w:hAnsi="宋体" w:cs="宋体"/>
          <w:b/>
          <w:color w:val="auto"/>
          <w:sz w:val="52"/>
          <w:highlight w:val="none"/>
        </w:rPr>
      </w:pPr>
    </w:p>
    <w:p w14:paraId="260D6EC5">
      <w:pPr>
        <w:spacing w:line="360" w:lineRule="auto"/>
        <w:ind w:left="645" w:leftChars="307" w:firstLine="904" w:firstLineChars="300"/>
        <w:jc w:val="left"/>
        <w:rPr>
          <w:rFonts w:hint="eastAsia" w:ascii="宋体" w:hAnsi="宋体" w:cs="宋体"/>
          <w:b/>
          <w:color w:val="auto"/>
          <w:sz w:val="30"/>
          <w:szCs w:val="30"/>
          <w:highlight w:val="none"/>
        </w:rPr>
      </w:pPr>
      <w:r>
        <w:rPr>
          <w:rFonts w:hint="eastAsia" w:ascii="宋体" w:hAnsi="宋体" w:cs="宋体"/>
          <w:b/>
          <w:color w:val="auto"/>
          <w:sz w:val="30"/>
          <w:szCs w:val="30"/>
          <w:highlight w:val="none"/>
        </w:rPr>
        <w:t>项目编号：SDGP371328000202402000171</w:t>
      </w:r>
    </w:p>
    <w:p w14:paraId="4C53D073">
      <w:pPr>
        <w:spacing w:line="360" w:lineRule="auto"/>
        <w:ind w:left="645" w:leftChars="307" w:firstLine="904" w:firstLineChars="300"/>
        <w:jc w:val="left"/>
        <w:rPr>
          <w:rFonts w:hint="default" w:ascii="宋体" w:hAnsi="宋体" w:cs="宋体"/>
          <w:b/>
          <w:color w:val="auto"/>
          <w:sz w:val="30"/>
          <w:szCs w:val="30"/>
          <w:highlight w:val="none"/>
          <w:lang w:val="en-US" w:eastAsia="zh-CN"/>
        </w:rPr>
      </w:pPr>
      <w:r>
        <w:rPr>
          <w:rFonts w:hint="eastAsia" w:ascii="宋体" w:hAnsi="宋体" w:cs="宋体"/>
          <w:b/>
          <w:color w:val="auto"/>
          <w:sz w:val="30"/>
          <w:szCs w:val="30"/>
          <w:highlight w:val="none"/>
        </w:rPr>
        <w:t>项目名称</w:t>
      </w:r>
      <w:r>
        <w:rPr>
          <w:rFonts w:hint="eastAsia" w:ascii="宋体" w:hAnsi="宋体" w:cs="宋体"/>
          <w:b/>
          <w:color w:val="auto"/>
          <w:sz w:val="30"/>
          <w:szCs w:val="30"/>
          <w:highlight w:val="none"/>
          <w:lang w:eastAsia="zh-CN"/>
        </w:rPr>
        <w:t>：蒙阴经济开发区园区绿化</w:t>
      </w:r>
      <w:r>
        <w:rPr>
          <w:rFonts w:hint="eastAsia" w:ascii="宋体" w:hAnsi="宋体" w:cs="宋体"/>
          <w:b/>
          <w:color w:val="auto"/>
          <w:sz w:val="30"/>
          <w:szCs w:val="30"/>
          <w:highlight w:val="none"/>
          <w:lang w:val="en-US" w:eastAsia="zh-CN"/>
        </w:rPr>
        <w:t>项目（A包）</w:t>
      </w:r>
    </w:p>
    <w:p w14:paraId="65CC10F3">
      <w:pPr>
        <w:spacing w:line="360" w:lineRule="auto"/>
        <w:ind w:left="645" w:leftChars="307" w:firstLine="904" w:firstLineChars="300"/>
        <w:jc w:val="left"/>
        <w:rPr>
          <w:rFonts w:ascii="宋体" w:hAnsi="宋体" w:cs="宋体"/>
          <w:b/>
          <w:color w:val="auto"/>
          <w:sz w:val="30"/>
          <w:szCs w:val="30"/>
          <w:highlight w:val="none"/>
        </w:rPr>
      </w:pPr>
      <w:r>
        <w:rPr>
          <w:rFonts w:hint="eastAsia" w:ascii="宋体" w:hAnsi="宋体" w:cs="宋体"/>
          <w:b/>
          <w:color w:val="auto"/>
          <w:sz w:val="30"/>
          <w:szCs w:val="30"/>
          <w:highlight w:val="none"/>
        </w:rPr>
        <w:t>项目包号：A包</w:t>
      </w:r>
    </w:p>
    <w:p w14:paraId="7AB1EBF2">
      <w:pPr>
        <w:spacing w:line="360" w:lineRule="auto"/>
        <w:ind w:left="1080" w:leftChars="257" w:hanging="540"/>
        <w:jc w:val="center"/>
        <w:rPr>
          <w:rFonts w:ascii="宋体" w:hAnsi="宋体" w:cs="宋体"/>
          <w:b/>
          <w:color w:val="auto"/>
          <w:sz w:val="52"/>
          <w:highlight w:val="none"/>
        </w:rPr>
      </w:pPr>
    </w:p>
    <w:p w14:paraId="120D88E1">
      <w:pPr>
        <w:spacing w:line="360" w:lineRule="auto"/>
        <w:ind w:left="1080" w:leftChars="257" w:hanging="540"/>
        <w:jc w:val="center"/>
        <w:rPr>
          <w:rFonts w:ascii="宋体" w:hAnsi="宋体" w:cs="宋体"/>
          <w:b/>
          <w:color w:val="auto"/>
          <w:sz w:val="32"/>
          <w:szCs w:val="32"/>
          <w:highlight w:val="none"/>
        </w:rPr>
      </w:pPr>
    </w:p>
    <w:p w14:paraId="391644AC">
      <w:pPr>
        <w:spacing w:line="360" w:lineRule="auto"/>
        <w:ind w:firstLine="1285" w:firstLineChars="400"/>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采购人</w:t>
      </w:r>
      <w:r>
        <w:rPr>
          <w:rFonts w:hint="eastAsia" w:ascii="宋体" w:hAnsi="宋体" w:cs="宋体"/>
          <w:b/>
          <w:bCs/>
          <w:color w:val="auto"/>
          <w:sz w:val="32"/>
          <w:szCs w:val="32"/>
          <w:highlight w:val="none"/>
          <w:lang w:eastAsia="zh-CN"/>
        </w:rPr>
        <w:t>：山东蒙阴经济开发区管理委员会  </w:t>
      </w:r>
    </w:p>
    <w:p w14:paraId="51D12D46">
      <w:pPr>
        <w:spacing w:line="360" w:lineRule="auto"/>
        <w:ind w:firstLine="1282" w:firstLineChars="399"/>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采购代理机构：</w:t>
      </w:r>
      <w:r>
        <w:rPr>
          <w:rFonts w:hint="eastAsia" w:ascii="宋体" w:hAnsi="宋体" w:cs="黑体"/>
          <w:b/>
          <w:bCs/>
          <w:color w:val="auto"/>
          <w:sz w:val="32"/>
          <w:szCs w:val="32"/>
          <w:highlight w:val="none"/>
          <w:lang w:eastAsia="zh-CN"/>
        </w:rPr>
        <w:t>临沂华屹工程项目管理咨询有限公司</w:t>
      </w:r>
    </w:p>
    <w:p w14:paraId="5CA47349">
      <w:pPr>
        <w:spacing w:line="360" w:lineRule="auto"/>
        <w:ind w:firstLine="1285" w:firstLineChars="400"/>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发出日期：</w:t>
      </w:r>
      <w:r>
        <w:rPr>
          <w:rFonts w:hint="eastAsia" w:ascii="宋体" w:hAnsi="宋体" w:cs="宋体"/>
          <w:b/>
          <w:bCs/>
          <w:color w:val="auto"/>
          <w:sz w:val="32"/>
          <w:szCs w:val="32"/>
          <w:highlight w:val="none"/>
          <w:lang w:eastAsia="zh-CN"/>
        </w:rPr>
        <w:t>202</w:t>
      </w:r>
      <w:r>
        <w:rPr>
          <w:rFonts w:hint="eastAsia" w:ascii="宋体" w:hAnsi="宋体" w:cs="宋体"/>
          <w:b/>
          <w:bCs/>
          <w:color w:val="auto"/>
          <w:sz w:val="32"/>
          <w:szCs w:val="32"/>
          <w:highlight w:val="none"/>
          <w:lang w:val="en-US" w:eastAsia="zh-CN"/>
        </w:rPr>
        <w:t>4</w:t>
      </w:r>
      <w:r>
        <w:rPr>
          <w:rFonts w:hint="eastAsia" w:ascii="宋体" w:hAnsi="宋体" w:cs="宋体"/>
          <w:b/>
          <w:bCs/>
          <w:color w:val="auto"/>
          <w:sz w:val="32"/>
          <w:szCs w:val="32"/>
          <w:highlight w:val="none"/>
          <w:lang w:eastAsia="zh-CN"/>
        </w:rPr>
        <w:t>年</w:t>
      </w:r>
      <w:r>
        <w:rPr>
          <w:rFonts w:hint="eastAsia" w:ascii="宋体" w:hAnsi="宋体" w:cs="宋体"/>
          <w:b/>
          <w:bCs/>
          <w:color w:val="auto"/>
          <w:sz w:val="32"/>
          <w:szCs w:val="32"/>
          <w:highlight w:val="none"/>
          <w:lang w:val="en-US" w:eastAsia="zh-CN"/>
        </w:rPr>
        <w:t>9</w:t>
      </w:r>
      <w:r>
        <w:rPr>
          <w:rFonts w:hint="eastAsia" w:ascii="宋体" w:hAnsi="宋体" w:cs="宋体"/>
          <w:b/>
          <w:bCs/>
          <w:color w:val="auto"/>
          <w:sz w:val="32"/>
          <w:szCs w:val="32"/>
          <w:highlight w:val="none"/>
          <w:lang w:eastAsia="zh-CN"/>
        </w:rPr>
        <w:t>月</w:t>
      </w:r>
    </w:p>
    <w:p w14:paraId="7C13B009">
      <w:pPr>
        <w:spacing w:line="360" w:lineRule="auto"/>
        <w:rPr>
          <w:rFonts w:ascii="宋体" w:hAnsi="宋体" w:cs="宋体"/>
          <w:color w:val="auto"/>
          <w:kern w:val="0"/>
          <w:szCs w:val="21"/>
          <w:highlight w:val="none"/>
        </w:rPr>
      </w:pPr>
      <w:r>
        <w:rPr>
          <w:rFonts w:hint="eastAsia" w:ascii="宋体" w:hAnsi="宋体" w:cs="宋体"/>
          <w:b/>
          <w:color w:val="auto"/>
          <w:sz w:val="52"/>
          <w:highlight w:val="none"/>
        </w:rPr>
        <w:br w:type="page"/>
      </w:r>
    </w:p>
    <w:p w14:paraId="6C0477AC">
      <w:pPr>
        <w:spacing w:line="360" w:lineRule="auto"/>
        <w:jc w:val="center"/>
        <w:rPr>
          <w:color w:val="auto"/>
          <w:sz w:val="44"/>
          <w:szCs w:val="44"/>
          <w:highlight w:val="none"/>
        </w:rPr>
      </w:pPr>
      <w:r>
        <w:rPr>
          <w:rFonts w:ascii="宋体" w:hAnsi="宋体"/>
          <w:color w:val="auto"/>
          <w:sz w:val="44"/>
          <w:szCs w:val="44"/>
          <w:highlight w:val="none"/>
        </w:rPr>
        <w:t>目录</w:t>
      </w:r>
    </w:p>
    <w:p w14:paraId="239ACAB7">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TOC \o "1-1" \h \u </w:instrText>
      </w:r>
      <w:r>
        <w:rPr>
          <w:rFonts w:ascii="宋体" w:hAnsi="宋体" w:cs="宋体"/>
          <w:color w:val="auto"/>
          <w:kern w:val="44"/>
          <w:sz w:val="32"/>
          <w:szCs w:val="32"/>
          <w:highlight w:val="none"/>
        </w:rPr>
        <w:fldChar w:fldCharType="separate"/>
      </w: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_Toc4003 </w:instrText>
      </w:r>
      <w:r>
        <w:rPr>
          <w:rFonts w:ascii="宋体" w:hAnsi="宋体" w:cs="宋体"/>
          <w:color w:val="auto"/>
          <w:kern w:val="44"/>
          <w:sz w:val="32"/>
          <w:szCs w:val="32"/>
          <w:highlight w:val="none"/>
        </w:rPr>
        <w:fldChar w:fldCharType="separate"/>
      </w:r>
      <w:r>
        <w:rPr>
          <w:rFonts w:hint="eastAsia" w:hAnsi="宋体" w:cs="宋体"/>
          <w:color w:val="auto"/>
          <w:sz w:val="32"/>
          <w:szCs w:val="32"/>
          <w:highlight w:val="none"/>
          <w:lang w:val="en-US" w:eastAsia="zh-CN"/>
        </w:rPr>
        <w:t>第1章</w:t>
      </w:r>
      <w:r>
        <w:rPr>
          <w:rFonts w:hint="eastAsia" w:hAnsi="宋体" w:cs="宋体"/>
          <w:color w:val="auto"/>
          <w:sz w:val="32"/>
          <w:szCs w:val="32"/>
          <w:highlight w:val="none"/>
        </w:rPr>
        <w:t>供应商须知</w:t>
      </w:r>
      <w:r>
        <w:rPr>
          <w:color w:val="auto"/>
          <w:sz w:val="32"/>
          <w:szCs w:val="32"/>
        </w:rPr>
        <w:tab/>
      </w:r>
      <w:r>
        <w:rPr>
          <w:color w:val="auto"/>
          <w:sz w:val="32"/>
          <w:szCs w:val="32"/>
        </w:rPr>
        <w:fldChar w:fldCharType="begin"/>
      </w:r>
      <w:r>
        <w:rPr>
          <w:color w:val="auto"/>
          <w:sz w:val="32"/>
          <w:szCs w:val="32"/>
        </w:rPr>
        <w:instrText xml:space="preserve"> PAGEREF _Toc4003 \h </w:instrText>
      </w:r>
      <w:r>
        <w:rPr>
          <w:color w:val="auto"/>
          <w:sz w:val="32"/>
          <w:szCs w:val="32"/>
        </w:rPr>
        <w:fldChar w:fldCharType="separate"/>
      </w:r>
      <w:r>
        <w:rPr>
          <w:color w:val="auto"/>
          <w:sz w:val="32"/>
          <w:szCs w:val="32"/>
        </w:rPr>
        <w:t>3</w:t>
      </w:r>
      <w:r>
        <w:rPr>
          <w:color w:val="auto"/>
          <w:sz w:val="32"/>
          <w:szCs w:val="32"/>
        </w:rPr>
        <w:fldChar w:fldCharType="end"/>
      </w:r>
      <w:r>
        <w:rPr>
          <w:rFonts w:ascii="宋体" w:hAnsi="宋体" w:cs="宋体"/>
          <w:color w:val="auto"/>
          <w:kern w:val="44"/>
          <w:sz w:val="32"/>
          <w:szCs w:val="32"/>
          <w:highlight w:val="none"/>
        </w:rPr>
        <w:fldChar w:fldCharType="end"/>
      </w:r>
    </w:p>
    <w:p w14:paraId="31B76D53">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_Toc8180 </w:instrText>
      </w:r>
      <w:r>
        <w:rPr>
          <w:rFonts w:ascii="宋体" w:hAnsi="宋体" w:cs="宋体"/>
          <w:color w:val="auto"/>
          <w:kern w:val="44"/>
          <w:sz w:val="32"/>
          <w:szCs w:val="32"/>
          <w:highlight w:val="none"/>
        </w:rPr>
        <w:fldChar w:fldCharType="separate"/>
      </w:r>
      <w:r>
        <w:rPr>
          <w:rFonts w:hint="eastAsia" w:hAnsi="宋体" w:cs="宋体"/>
          <w:color w:val="auto"/>
          <w:sz w:val="32"/>
          <w:szCs w:val="32"/>
          <w:highlight w:val="none"/>
        </w:rPr>
        <w:t>第2章采购</w:t>
      </w:r>
      <w:r>
        <w:rPr>
          <w:rFonts w:hint="eastAsia" w:hAnsi="宋体" w:cs="宋体"/>
          <w:color w:val="auto"/>
          <w:sz w:val="32"/>
          <w:szCs w:val="32"/>
          <w:highlight w:val="none"/>
          <w:lang w:val="en-US" w:eastAsia="zh-CN"/>
        </w:rPr>
        <w:t>公告</w:t>
      </w:r>
      <w:r>
        <w:rPr>
          <w:color w:val="auto"/>
          <w:sz w:val="32"/>
          <w:szCs w:val="32"/>
        </w:rPr>
        <w:tab/>
      </w:r>
      <w:r>
        <w:rPr>
          <w:color w:val="auto"/>
          <w:sz w:val="32"/>
          <w:szCs w:val="32"/>
        </w:rPr>
        <w:fldChar w:fldCharType="begin"/>
      </w:r>
      <w:r>
        <w:rPr>
          <w:color w:val="auto"/>
          <w:sz w:val="32"/>
          <w:szCs w:val="32"/>
        </w:rPr>
        <w:instrText xml:space="preserve"> PAGEREF _Toc8180 \h </w:instrText>
      </w:r>
      <w:r>
        <w:rPr>
          <w:color w:val="auto"/>
          <w:sz w:val="32"/>
          <w:szCs w:val="32"/>
        </w:rPr>
        <w:fldChar w:fldCharType="separate"/>
      </w:r>
      <w:r>
        <w:rPr>
          <w:color w:val="auto"/>
          <w:sz w:val="32"/>
          <w:szCs w:val="32"/>
        </w:rPr>
        <w:t>27</w:t>
      </w:r>
      <w:r>
        <w:rPr>
          <w:color w:val="auto"/>
          <w:sz w:val="32"/>
          <w:szCs w:val="32"/>
        </w:rPr>
        <w:fldChar w:fldCharType="end"/>
      </w:r>
      <w:r>
        <w:rPr>
          <w:rFonts w:ascii="宋体" w:hAnsi="宋体" w:cs="宋体"/>
          <w:color w:val="auto"/>
          <w:kern w:val="44"/>
          <w:sz w:val="32"/>
          <w:szCs w:val="32"/>
          <w:highlight w:val="none"/>
        </w:rPr>
        <w:fldChar w:fldCharType="end"/>
      </w:r>
    </w:p>
    <w:p w14:paraId="3DAF9CB2">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_Toc4288 </w:instrText>
      </w:r>
      <w:r>
        <w:rPr>
          <w:rFonts w:ascii="宋体" w:hAnsi="宋体" w:cs="宋体"/>
          <w:color w:val="auto"/>
          <w:kern w:val="44"/>
          <w:sz w:val="32"/>
          <w:szCs w:val="32"/>
          <w:highlight w:val="none"/>
        </w:rPr>
        <w:fldChar w:fldCharType="separate"/>
      </w:r>
      <w:r>
        <w:rPr>
          <w:rFonts w:hint="eastAsia" w:hAnsi="宋体" w:cs="宋体"/>
          <w:color w:val="auto"/>
          <w:sz w:val="32"/>
          <w:szCs w:val="32"/>
          <w:highlight w:val="none"/>
        </w:rPr>
        <w:t>第3章供应商须知资料表</w:t>
      </w:r>
      <w:r>
        <w:rPr>
          <w:color w:val="auto"/>
          <w:sz w:val="32"/>
          <w:szCs w:val="32"/>
        </w:rPr>
        <w:tab/>
      </w:r>
      <w:r>
        <w:rPr>
          <w:color w:val="auto"/>
          <w:sz w:val="32"/>
          <w:szCs w:val="32"/>
        </w:rPr>
        <w:fldChar w:fldCharType="begin"/>
      </w:r>
      <w:r>
        <w:rPr>
          <w:color w:val="auto"/>
          <w:sz w:val="32"/>
          <w:szCs w:val="32"/>
        </w:rPr>
        <w:instrText xml:space="preserve"> PAGEREF _Toc4288 \h </w:instrText>
      </w:r>
      <w:r>
        <w:rPr>
          <w:color w:val="auto"/>
          <w:sz w:val="32"/>
          <w:szCs w:val="32"/>
        </w:rPr>
        <w:fldChar w:fldCharType="separate"/>
      </w:r>
      <w:r>
        <w:rPr>
          <w:color w:val="auto"/>
          <w:sz w:val="32"/>
          <w:szCs w:val="32"/>
        </w:rPr>
        <w:t>30</w:t>
      </w:r>
      <w:r>
        <w:rPr>
          <w:color w:val="auto"/>
          <w:sz w:val="32"/>
          <w:szCs w:val="32"/>
        </w:rPr>
        <w:fldChar w:fldCharType="end"/>
      </w:r>
      <w:r>
        <w:rPr>
          <w:rFonts w:ascii="宋体" w:hAnsi="宋体" w:cs="宋体"/>
          <w:color w:val="auto"/>
          <w:kern w:val="44"/>
          <w:sz w:val="32"/>
          <w:szCs w:val="32"/>
          <w:highlight w:val="none"/>
        </w:rPr>
        <w:fldChar w:fldCharType="end"/>
      </w:r>
    </w:p>
    <w:p w14:paraId="68E234BA">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_Toc2708 </w:instrText>
      </w:r>
      <w:r>
        <w:rPr>
          <w:rFonts w:ascii="宋体" w:hAnsi="宋体" w:cs="宋体"/>
          <w:color w:val="auto"/>
          <w:kern w:val="44"/>
          <w:sz w:val="32"/>
          <w:szCs w:val="32"/>
          <w:highlight w:val="none"/>
        </w:rPr>
        <w:fldChar w:fldCharType="separate"/>
      </w:r>
      <w:r>
        <w:rPr>
          <w:rFonts w:hint="eastAsia" w:hAnsi="宋体" w:cs="宋体"/>
          <w:color w:val="auto"/>
          <w:sz w:val="32"/>
          <w:szCs w:val="32"/>
          <w:highlight w:val="none"/>
          <w:lang w:val="en-US" w:eastAsia="zh-CN"/>
        </w:rPr>
        <w:t>第4章项目情况</w:t>
      </w:r>
      <w:r>
        <w:rPr>
          <w:color w:val="auto"/>
          <w:sz w:val="32"/>
          <w:szCs w:val="32"/>
        </w:rPr>
        <w:tab/>
      </w:r>
      <w:r>
        <w:rPr>
          <w:color w:val="auto"/>
          <w:sz w:val="32"/>
          <w:szCs w:val="32"/>
        </w:rPr>
        <w:fldChar w:fldCharType="begin"/>
      </w:r>
      <w:r>
        <w:rPr>
          <w:color w:val="auto"/>
          <w:sz w:val="32"/>
          <w:szCs w:val="32"/>
        </w:rPr>
        <w:instrText xml:space="preserve"> PAGEREF _Toc2708 \h </w:instrText>
      </w:r>
      <w:r>
        <w:rPr>
          <w:color w:val="auto"/>
          <w:sz w:val="32"/>
          <w:szCs w:val="32"/>
        </w:rPr>
        <w:fldChar w:fldCharType="separate"/>
      </w:r>
      <w:r>
        <w:rPr>
          <w:color w:val="auto"/>
          <w:sz w:val="32"/>
          <w:szCs w:val="32"/>
        </w:rPr>
        <w:t>33</w:t>
      </w:r>
      <w:r>
        <w:rPr>
          <w:color w:val="auto"/>
          <w:sz w:val="32"/>
          <w:szCs w:val="32"/>
        </w:rPr>
        <w:fldChar w:fldCharType="end"/>
      </w:r>
      <w:r>
        <w:rPr>
          <w:rFonts w:ascii="宋体" w:hAnsi="宋体" w:cs="宋体"/>
          <w:color w:val="auto"/>
          <w:kern w:val="44"/>
          <w:sz w:val="32"/>
          <w:szCs w:val="32"/>
          <w:highlight w:val="none"/>
        </w:rPr>
        <w:fldChar w:fldCharType="end"/>
      </w:r>
    </w:p>
    <w:p w14:paraId="5C806795">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_Toc25632 </w:instrText>
      </w:r>
      <w:r>
        <w:rPr>
          <w:rFonts w:ascii="宋体" w:hAnsi="宋体" w:cs="宋体"/>
          <w:color w:val="auto"/>
          <w:kern w:val="44"/>
          <w:sz w:val="32"/>
          <w:szCs w:val="32"/>
          <w:highlight w:val="none"/>
        </w:rPr>
        <w:fldChar w:fldCharType="separate"/>
      </w:r>
      <w:r>
        <w:rPr>
          <w:rFonts w:hint="eastAsia" w:ascii="宋体" w:hAnsi="宋体" w:eastAsia="宋体" w:cs="宋体"/>
          <w:color w:val="auto"/>
          <w:kern w:val="44"/>
          <w:sz w:val="32"/>
          <w:szCs w:val="32"/>
          <w:highlight w:val="none"/>
          <w:lang w:val="en-US" w:eastAsia="zh-CN" w:bidi="ar-SA"/>
        </w:rPr>
        <w:t>第5章评审方法和标准</w:t>
      </w:r>
      <w:r>
        <w:rPr>
          <w:color w:val="auto"/>
          <w:sz w:val="32"/>
          <w:szCs w:val="32"/>
        </w:rPr>
        <w:tab/>
      </w:r>
      <w:r>
        <w:rPr>
          <w:color w:val="auto"/>
          <w:sz w:val="32"/>
          <w:szCs w:val="32"/>
        </w:rPr>
        <w:fldChar w:fldCharType="begin"/>
      </w:r>
      <w:r>
        <w:rPr>
          <w:color w:val="auto"/>
          <w:sz w:val="32"/>
          <w:szCs w:val="32"/>
        </w:rPr>
        <w:instrText xml:space="preserve"> PAGEREF _Toc25632 \h </w:instrText>
      </w:r>
      <w:r>
        <w:rPr>
          <w:color w:val="auto"/>
          <w:sz w:val="32"/>
          <w:szCs w:val="32"/>
        </w:rPr>
        <w:fldChar w:fldCharType="separate"/>
      </w:r>
      <w:r>
        <w:rPr>
          <w:color w:val="auto"/>
          <w:sz w:val="32"/>
          <w:szCs w:val="32"/>
        </w:rPr>
        <w:t>34</w:t>
      </w:r>
      <w:r>
        <w:rPr>
          <w:color w:val="auto"/>
          <w:sz w:val="32"/>
          <w:szCs w:val="32"/>
        </w:rPr>
        <w:fldChar w:fldCharType="end"/>
      </w:r>
      <w:r>
        <w:rPr>
          <w:rFonts w:ascii="宋体" w:hAnsi="宋体" w:cs="宋体"/>
          <w:color w:val="auto"/>
          <w:kern w:val="44"/>
          <w:sz w:val="32"/>
          <w:szCs w:val="32"/>
          <w:highlight w:val="none"/>
        </w:rPr>
        <w:fldChar w:fldCharType="end"/>
      </w:r>
    </w:p>
    <w:p w14:paraId="54CF0CA5">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_Toc16206 </w:instrText>
      </w:r>
      <w:r>
        <w:rPr>
          <w:rFonts w:ascii="宋体" w:hAnsi="宋体" w:cs="宋体"/>
          <w:color w:val="auto"/>
          <w:kern w:val="44"/>
          <w:sz w:val="32"/>
          <w:szCs w:val="32"/>
          <w:highlight w:val="none"/>
        </w:rPr>
        <w:fldChar w:fldCharType="separate"/>
      </w:r>
      <w:r>
        <w:rPr>
          <w:rFonts w:hint="eastAsia" w:hAnsi="宋体" w:cs="宋体"/>
          <w:color w:val="auto"/>
          <w:sz w:val="32"/>
          <w:szCs w:val="32"/>
          <w:highlight w:val="none"/>
        </w:rPr>
        <w:t>第6章响应文件格式</w:t>
      </w:r>
      <w:r>
        <w:rPr>
          <w:color w:val="auto"/>
          <w:sz w:val="32"/>
          <w:szCs w:val="32"/>
        </w:rPr>
        <w:tab/>
      </w:r>
      <w:r>
        <w:rPr>
          <w:color w:val="auto"/>
          <w:sz w:val="32"/>
          <w:szCs w:val="32"/>
        </w:rPr>
        <w:fldChar w:fldCharType="begin"/>
      </w:r>
      <w:r>
        <w:rPr>
          <w:color w:val="auto"/>
          <w:sz w:val="32"/>
          <w:szCs w:val="32"/>
        </w:rPr>
        <w:instrText xml:space="preserve"> PAGEREF _Toc16206 \h </w:instrText>
      </w:r>
      <w:r>
        <w:rPr>
          <w:color w:val="auto"/>
          <w:sz w:val="32"/>
          <w:szCs w:val="32"/>
        </w:rPr>
        <w:fldChar w:fldCharType="separate"/>
      </w:r>
      <w:r>
        <w:rPr>
          <w:color w:val="auto"/>
          <w:sz w:val="32"/>
          <w:szCs w:val="32"/>
        </w:rPr>
        <w:t>41</w:t>
      </w:r>
      <w:r>
        <w:rPr>
          <w:color w:val="auto"/>
          <w:sz w:val="32"/>
          <w:szCs w:val="32"/>
        </w:rPr>
        <w:fldChar w:fldCharType="end"/>
      </w:r>
      <w:r>
        <w:rPr>
          <w:rFonts w:ascii="宋体" w:hAnsi="宋体" w:cs="宋体"/>
          <w:color w:val="auto"/>
          <w:kern w:val="44"/>
          <w:sz w:val="32"/>
          <w:szCs w:val="32"/>
          <w:highlight w:val="none"/>
        </w:rPr>
        <w:fldChar w:fldCharType="end"/>
      </w:r>
    </w:p>
    <w:p w14:paraId="41734B36">
      <w:pPr>
        <w:pStyle w:val="14"/>
        <w:tabs>
          <w:tab w:val="right" w:leader="dot" w:pos="9072"/>
        </w:tabs>
        <w:rPr>
          <w:color w:val="auto"/>
          <w:sz w:val="32"/>
          <w:szCs w:val="32"/>
        </w:rPr>
      </w:pPr>
      <w:r>
        <w:rPr>
          <w:rFonts w:ascii="宋体" w:hAnsi="宋体" w:cs="宋体"/>
          <w:color w:val="auto"/>
          <w:kern w:val="44"/>
          <w:sz w:val="32"/>
          <w:szCs w:val="32"/>
          <w:highlight w:val="none"/>
        </w:rPr>
        <w:fldChar w:fldCharType="begin"/>
      </w:r>
      <w:r>
        <w:rPr>
          <w:rFonts w:ascii="宋体" w:hAnsi="宋体" w:cs="宋体"/>
          <w:color w:val="auto"/>
          <w:kern w:val="44"/>
          <w:sz w:val="32"/>
          <w:szCs w:val="32"/>
          <w:highlight w:val="none"/>
        </w:rPr>
        <w:instrText xml:space="preserve"> HYPERLINK \l _Toc32644 </w:instrText>
      </w:r>
      <w:r>
        <w:rPr>
          <w:rFonts w:ascii="宋体" w:hAnsi="宋体" w:cs="宋体"/>
          <w:color w:val="auto"/>
          <w:kern w:val="44"/>
          <w:sz w:val="32"/>
          <w:szCs w:val="32"/>
          <w:highlight w:val="none"/>
        </w:rPr>
        <w:fldChar w:fldCharType="separate"/>
      </w:r>
      <w:r>
        <w:rPr>
          <w:rFonts w:hint="eastAsia" w:hAnsi="宋体"/>
          <w:color w:val="auto"/>
          <w:sz w:val="32"/>
          <w:szCs w:val="32"/>
          <w:highlight w:val="none"/>
        </w:rPr>
        <w:t>第7章政府采购合同格式</w:t>
      </w:r>
      <w:r>
        <w:rPr>
          <w:color w:val="auto"/>
          <w:sz w:val="32"/>
          <w:szCs w:val="32"/>
        </w:rPr>
        <w:tab/>
      </w:r>
      <w:r>
        <w:rPr>
          <w:color w:val="auto"/>
          <w:sz w:val="32"/>
          <w:szCs w:val="32"/>
        </w:rPr>
        <w:fldChar w:fldCharType="begin"/>
      </w:r>
      <w:r>
        <w:rPr>
          <w:color w:val="auto"/>
          <w:sz w:val="32"/>
          <w:szCs w:val="32"/>
        </w:rPr>
        <w:instrText xml:space="preserve"> PAGEREF _Toc32644 \h </w:instrText>
      </w:r>
      <w:r>
        <w:rPr>
          <w:color w:val="auto"/>
          <w:sz w:val="32"/>
          <w:szCs w:val="32"/>
        </w:rPr>
        <w:fldChar w:fldCharType="separate"/>
      </w:r>
      <w:r>
        <w:rPr>
          <w:color w:val="auto"/>
          <w:sz w:val="32"/>
          <w:szCs w:val="32"/>
        </w:rPr>
        <w:t>61</w:t>
      </w:r>
      <w:r>
        <w:rPr>
          <w:color w:val="auto"/>
          <w:sz w:val="32"/>
          <w:szCs w:val="32"/>
        </w:rPr>
        <w:fldChar w:fldCharType="end"/>
      </w:r>
      <w:r>
        <w:rPr>
          <w:rFonts w:ascii="宋体" w:hAnsi="宋体" w:cs="宋体"/>
          <w:color w:val="auto"/>
          <w:kern w:val="44"/>
          <w:sz w:val="32"/>
          <w:szCs w:val="32"/>
          <w:highlight w:val="none"/>
        </w:rPr>
        <w:fldChar w:fldCharType="end"/>
      </w:r>
    </w:p>
    <w:p w14:paraId="703B3D2A">
      <w:pPr>
        <w:spacing w:line="360" w:lineRule="auto"/>
        <w:rPr>
          <w:rFonts w:ascii="宋体" w:hAnsi="宋体" w:cs="宋体"/>
          <w:color w:val="auto"/>
          <w:kern w:val="44"/>
          <w:sz w:val="32"/>
          <w:szCs w:val="32"/>
          <w:highlight w:val="none"/>
        </w:rPr>
      </w:pPr>
      <w:r>
        <w:rPr>
          <w:rFonts w:ascii="宋体" w:hAnsi="宋体" w:cs="宋体"/>
          <w:color w:val="auto"/>
          <w:kern w:val="44"/>
          <w:sz w:val="32"/>
          <w:szCs w:val="32"/>
          <w:highlight w:val="none"/>
        </w:rPr>
        <w:fldChar w:fldCharType="end"/>
      </w:r>
    </w:p>
    <w:p w14:paraId="5575A4C4">
      <w:pPr>
        <w:spacing w:line="360" w:lineRule="auto"/>
        <w:rPr>
          <w:rFonts w:ascii="宋体" w:hAnsi="宋体" w:cs="宋体"/>
          <w:color w:val="auto"/>
          <w:kern w:val="44"/>
          <w:szCs w:val="20"/>
          <w:highlight w:val="none"/>
        </w:rPr>
      </w:pPr>
    </w:p>
    <w:p w14:paraId="66721F35">
      <w:pPr>
        <w:spacing w:line="360" w:lineRule="auto"/>
        <w:rPr>
          <w:rFonts w:ascii="宋体" w:hAnsi="宋体" w:cs="宋体"/>
          <w:color w:val="auto"/>
          <w:kern w:val="44"/>
          <w:szCs w:val="20"/>
          <w:highlight w:val="none"/>
        </w:rPr>
      </w:pPr>
    </w:p>
    <w:p w14:paraId="36663F2A">
      <w:pPr>
        <w:spacing w:line="360" w:lineRule="auto"/>
        <w:rPr>
          <w:rFonts w:ascii="宋体" w:hAnsi="宋体" w:cs="宋体"/>
          <w:color w:val="auto"/>
          <w:kern w:val="44"/>
          <w:szCs w:val="20"/>
          <w:highlight w:val="none"/>
        </w:rPr>
      </w:pPr>
    </w:p>
    <w:p w14:paraId="4490F762">
      <w:pPr>
        <w:spacing w:line="360" w:lineRule="auto"/>
        <w:rPr>
          <w:rFonts w:ascii="宋体" w:hAnsi="宋体" w:cs="宋体"/>
          <w:color w:val="auto"/>
          <w:kern w:val="44"/>
          <w:szCs w:val="20"/>
          <w:highlight w:val="none"/>
        </w:rPr>
      </w:pPr>
    </w:p>
    <w:p w14:paraId="2D611053">
      <w:pPr>
        <w:spacing w:line="360" w:lineRule="auto"/>
        <w:rPr>
          <w:rFonts w:ascii="宋体" w:hAnsi="宋体" w:cs="宋体"/>
          <w:color w:val="auto"/>
          <w:kern w:val="44"/>
          <w:szCs w:val="20"/>
          <w:highlight w:val="none"/>
        </w:rPr>
      </w:pPr>
    </w:p>
    <w:p w14:paraId="393471B8">
      <w:pPr>
        <w:spacing w:line="360" w:lineRule="auto"/>
        <w:rPr>
          <w:rFonts w:ascii="宋体" w:hAnsi="宋体" w:cs="宋体"/>
          <w:color w:val="auto"/>
          <w:kern w:val="44"/>
          <w:szCs w:val="20"/>
          <w:highlight w:val="none"/>
        </w:rPr>
      </w:pPr>
    </w:p>
    <w:p w14:paraId="5E5B7C84">
      <w:pPr>
        <w:spacing w:line="360" w:lineRule="auto"/>
        <w:rPr>
          <w:rFonts w:ascii="宋体" w:hAnsi="宋体" w:cs="宋体"/>
          <w:color w:val="auto"/>
          <w:kern w:val="44"/>
          <w:szCs w:val="20"/>
          <w:highlight w:val="none"/>
        </w:rPr>
      </w:pPr>
    </w:p>
    <w:p w14:paraId="2BF1376F">
      <w:pPr>
        <w:spacing w:line="360" w:lineRule="auto"/>
        <w:rPr>
          <w:rFonts w:ascii="宋体" w:hAnsi="宋体" w:cs="宋体"/>
          <w:color w:val="auto"/>
          <w:kern w:val="44"/>
          <w:szCs w:val="20"/>
          <w:highlight w:val="none"/>
        </w:rPr>
      </w:pPr>
    </w:p>
    <w:p w14:paraId="619C75C7">
      <w:pPr>
        <w:spacing w:line="360" w:lineRule="auto"/>
        <w:rPr>
          <w:rFonts w:ascii="宋体" w:hAnsi="宋体" w:cs="宋体"/>
          <w:color w:val="auto"/>
          <w:kern w:val="44"/>
          <w:szCs w:val="20"/>
          <w:highlight w:val="none"/>
        </w:rPr>
      </w:pPr>
    </w:p>
    <w:p w14:paraId="698727E3">
      <w:pPr>
        <w:spacing w:line="360" w:lineRule="auto"/>
        <w:rPr>
          <w:rFonts w:ascii="宋体" w:hAnsi="宋体" w:cs="宋体"/>
          <w:color w:val="auto"/>
          <w:kern w:val="44"/>
          <w:szCs w:val="20"/>
          <w:highlight w:val="none"/>
        </w:rPr>
      </w:pPr>
    </w:p>
    <w:p w14:paraId="589BF7F4">
      <w:pPr>
        <w:spacing w:line="360" w:lineRule="auto"/>
        <w:rPr>
          <w:rFonts w:ascii="宋体" w:hAnsi="宋体" w:cs="宋体"/>
          <w:color w:val="auto"/>
          <w:kern w:val="44"/>
          <w:szCs w:val="20"/>
          <w:highlight w:val="none"/>
        </w:rPr>
      </w:pPr>
    </w:p>
    <w:p w14:paraId="723B7435">
      <w:pPr>
        <w:spacing w:line="360" w:lineRule="auto"/>
        <w:rPr>
          <w:rFonts w:ascii="宋体" w:hAnsi="宋体" w:cs="宋体"/>
          <w:color w:val="auto"/>
          <w:kern w:val="44"/>
          <w:szCs w:val="20"/>
          <w:highlight w:val="none"/>
        </w:rPr>
      </w:pPr>
    </w:p>
    <w:p w14:paraId="3215D3BA">
      <w:pPr>
        <w:spacing w:line="360" w:lineRule="auto"/>
        <w:rPr>
          <w:rFonts w:ascii="宋体" w:hAnsi="宋体" w:cs="宋体"/>
          <w:color w:val="auto"/>
          <w:kern w:val="44"/>
          <w:szCs w:val="20"/>
          <w:highlight w:val="none"/>
        </w:rPr>
      </w:pPr>
    </w:p>
    <w:p w14:paraId="508C102E">
      <w:pPr>
        <w:spacing w:line="360" w:lineRule="auto"/>
        <w:rPr>
          <w:rFonts w:ascii="宋体" w:hAnsi="宋体" w:cs="宋体"/>
          <w:color w:val="auto"/>
          <w:kern w:val="44"/>
          <w:szCs w:val="20"/>
          <w:highlight w:val="none"/>
        </w:rPr>
      </w:pPr>
    </w:p>
    <w:p w14:paraId="52F6ACD8">
      <w:pPr>
        <w:pStyle w:val="7"/>
        <w:rPr>
          <w:rFonts w:cs="宋体"/>
          <w:color w:val="auto"/>
          <w:kern w:val="44"/>
          <w:szCs w:val="20"/>
          <w:highlight w:val="none"/>
        </w:rPr>
      </w:pPr>
    </w:p>
    <w:p w14:paraId="58D5AAAC">
      <w:pPr>
        <w:rPr>
          <w:rFonts w:ascii="宋体" w:hAnsi="宋体" w:cs="宋体"/>
          <w:color w:val="auto"/>
          <w:kern w:val="44"/>
          <w:szCs w:val="20"/>
          <w:highlight w:val="none"/>
        </w:rPr>
      </w:pPr>
    </w:p>
    <w:p w14:paraId="0C347633">
      <w:pPr>
        <w:pStyle w:val="7"/>
        <w:rPr>
          <w:rFonts w:cs="宋体"/>
          <w:color w:val="auto"/>
          <w:kern w:val="44"/>
          <w:szCs w:val="20"/>
          <w:highlight w:val="none"/>
        </w:rPr>
      </w:pPr>
    </w:p>
    <w:p w14:paraId="525BB18E">
      <w:pPr>
        <w:rPr>
          <w:rFonts w:ascii="宋体" w:hAnsi="宋体" w:cs="宋体"/>
          <w:color w:val="auto"/>
          <w:kern w:val="44"/>
          <w:szCs w:val="20"/>
          <w:highlight w:val="none"/>
        </w:rPr>
      </w:pPr>
    </w:p>
    <w:p w14:paraId="05F19B97">
      <w:pPr>
        <w:pStyle w:val="7"/>
        <w:rPr>
          <w:rFonts w:cs="宋体"/>
          <w:color w:val="auto"/>
          <w:kern w:val="44"/>
          <w:szCs w:val="20"/>
          <w:highlight w:val="none"/>
        </w:rPr>
      </w:pPr>
    </w:p>
    <w:p w14:paraId="0C614456">
      <w:pPr>
        <w:rPr>
          <w:rFonts w:ascii="宋体" w:hAnsi="宋体" w:cs="宋体"/>
          <w:color w:val="auto"/>
          <w:kern w:val="44"/>
          <w:szCs w:val="20"/>
          <w:highlight w:val="none"/>
        </w:rPr>
      </w:pPr>
    </w:p>
    <w:p w14:paraId="0C045B34">
      <w:pPr>
        <w:pStyle w:val="7"/>
        <w:rPr>
          <w:color w:val="auto"/>
          <w:highlight w:val="none"/>
        </w:rPr>
      </w:pPr>
    </w:p>
    <w:p w14:paraId="4F5CE339">
      <w:pPr>
        <w:spacing w:line="360" w:lineRule="auto"/>
        <w:rPr>
          <w:rFonts w:ascii="宋体" w:hAnsi="宋体" w:cs="宋体"/>
          <w:color w:val="auto"/>
          <w:kern w:val="44"/>
          <w:szCs w:val="20"/>
          <w:highlight w:val="none"/>
        </w:rPr>
      </w:pPr>
    </w:p>
    <w:p w14:paraId="4C7EA698">
      <w:pPr>
        <w:pStyle w:val="2"/>
        <w:tabs>
          <w:tab w:val="left" w:pos="0"/>
        </w:tabs>
        <w:spacing w:before="0" w:after="0" w:line="360" w:lineRule="auto"/>
        <w:rPr>
          <w:rFonts w:hAnsi="宋体" w:cs="宋体"/>
          <w:color w:val="auto"/>
          <w:highlight w:val="none"/>
        </w:rPr>
      </w:pPr>
      <w:bookmarkStart w:id="0" w:name="_Toc515647756"/>
      <w:bookmarkStart w:id="1" w:name="_Toc27429"/>
      <w:r>
        <w:rPr>
          <w:rFonts w:hint="eastAsia" w:hAnsi="宋体" w:cs="宋体"/>
          <w:color w:val="auto"/>
          <w:highlight w:val="none"/>
          <w:lang w:val="en-US" w:eastAsia="zh-CN"/>
        </w:rPr>
        <w:br w:type="page"/>
      </w:r>
      <w:bookmarkStart w:id="2" w:name="_Toc4003"/>
      <w:r>
        <w:rPr>
          <w:rFonts w:hint="eastAsia" w:hAnsi="宋体" w:cs="宋体"/>
          <w:color w:val="auto"/>
          <w:highlight w:val="none"/>
          <w:lang w:val="en-US" w:eastAsia="zh-CN"/>
        </w:rPr>
        <w:t xml:space="preserve">第1章 </w:t>
      </w:r>
      <w:r>
        <w:rPr>
          <w:rFonts w:hint="eastAsia" w:hAnsi="宋体" w:cs="宋体"/>
          <w:color w:val="auto"/>
          <w:highlight w:val="none"/>
        </w:rPr>
        <w:t>供应商须知</w:t>
      </w:r>
      <w:bookmarkEnd w:id="0"/>
      <w:bookmarkEnd w:id="1"/>
      <w:bookmarkEnd w:id="2"/>
    </w:p>
    <w:p w14:paraId="27701F1F">
      <w:pPr>
        <w:spacing w:line="360" w:lineRule="auto"/>
        <w:rPr>
          <w:rFonts w:ascii="宋体" w:hAnsi="宋体" w:cs="宋体"/>
          <w:color w:val="auto"/>
          <w:highlight w:val="none"/>
        </w:rPr>
      </w:pPr>
    </w:p>
    <w:p w14:paraId="7D093917">
      <w:pPr>
        <w:pStyle w:val="3"/>
        <w:spacing w:before="0" w:line="360" w:lineRule="auto"/>
        <w:ind w:left="565" w:leftChars="12" w:hanging="540"/>
        <w:rPr>
          <w:rFonts w:ascii="宋体" w:hAnsi="宋体" w:eastAsia="宋体" w:cs="宋体"/>
          <w:color w:val="auto"/>
          <w:sz w:val="28"/>
          <w:highlight w:val="none"/>
        </w:rPr>
      </w:pPr>
      <w:bookmarkStart w:id="3" w:name="_Toc520356143"/>
      <w:bookmarkStart w:id="4" w:name="_Toc515647757"/>
      <w:bookmarkStart w:id="5" w:name="_Toc216582805"/>
      <w:bookmarkStart w:id="6" w:name="_Toc8307"/>
      <w:bookmarkStart w:id="7" w:name="_Toc21015"/>
      <w:bookmarkStart w:id="8" w:name="_Toc21215"/>
      <w:r>
        <w:rPr>
          <w:rFonts w:hint="eastAsia" w:ascii="宋体" w:hAnsi="宋体" w:eastAsia="宋体" w:cs="宋体"/>
          <w:color w:val="auto"/>
          <w:sz w:val="28"/>
          <w:highlight w:val="none"/>
        </w:rPr>
        <w:t>一</w:t>
      </w:r>
      <w:bookmarkEnd w:id="3"/>
      <w:bookmarkEnd w:id="4"/>
      <w:bookmarkEnd w:id="5"/>
      <w:r>
        <w:rPr>
          <w:rFonts w:hint="eastAsia" w:ascii="宋体" w:hAnsi="宋体" w:eastAsia="宋体" w:cs="宋体"/>
          <w:color w:val="auto"/>
          <w:sz w:val="28"/>
          <w:highlight w:val="none"/>
        </w:rPr>
        <w:t>、总则</w:t>
      </w:r>
      <w:bookmarkEnd w:id="6"/>
      <w:bookmarkEnd w:id="7"/>
      <w:bookmarkEnd w:id="8"/>
    </w:p>
    <w:p w14:paraId="0D481A61">
      <w:pPr>
        <w:pStyle w:val="4"/>
        <w:spacing w:line="360" w:lineRule="auto"/>
        <w:rPr>
          <w:rFonts w:hAnsi="宋体" w:cs="宋体"/>
          <w:color w:val="auto"/>
          <w:highlight w:val="none"/>
        </w:rPr>
      </w:pPr>
    </w:p>
    <w:p w14:paraId="1537E859">
      <w:pPr>
        <w:pStyle w:val="5"/>
        <w:spacing w:before="0" w:after="0" w:line="360" w:lineRule="auto"/>
        <w:rPr>
          <w:rFonts w:hAnsi="宋体" w:cs="宋体"/>
          <w:color w:val="auto"/>
          <w:highlight w:val="none"/>
          <w:u w:val="none"/>
        </w:rPr>
      </w:pPr>
      <w:bookmarkStart w:id="9" w:name="_Toc520356144"/>
      <w:bookmarkStart w:id="10" w:name="_Toc515647758"/>
      <w:bookmarkStart w:id="11" w:name="_Toc13435"/>
      <w:bookmarkStart w:id="12" w:name="_Toc32623"/>
      <w:bookmarkStart w:id="13" w:name="_Toc32189"/>
      <w:r>
        <w:rPr>
          <w:rFonts w:hint="eastAsia" w:hAnsi="宋体" w:cs="宋体"/>
          <w:color w:val="auto"/>
          <w:highlight w:val="none"/>
          <w:u w:val="none"/>
        </w:rPr>
        <w:t>1.采购人、采购代理机构及</w:t>
      </w:r>
      <w:bookmarkEnd w:id="9"/>
      <w:r>
        <w:rPr>
          <w:rFonts w:hint="eastAsia" w:hAnsi="宋体" w:cs="宋体"/>
          <w:color w:val="auto"/>
          <w:highlight w:val="none"/>
          <w:u w:val="none"/>
        </w:rPr>
        <w:t>供应商</w:t>
      </w:r>
      <w:bookmarkEnd w:id="10"/>
      <w:bookmarkEnd w:id="11"/>
      <w:bookmarkEnd w:id="12"/>
      <w:bookmarkEnd w:id="13"/>
    </w:p>
    <w:p w14:paraId="457551A2">
      <w:pPr>
        <w:tabs>
          <w:tab w:val="left" w:pos="0"/>
        </w:tabs>
        <w:spacing w:line="360" w:lineRule="auto"/>
        <w:ind w:left="2"/>
        <w:rPr>
          <w:rFonts w:ascii="宋体" w:hAnsi="宋体" w:cs="宋体"/>
          <w:color w:val="auto"/>
          <w:sz w:val="24"/>
          <w:highlight w:val="none"/>
        </w:rPr>
      </w:pPr>
      <w:r>
        <w:rPr>
          <w:rFonts w:hint="eastAsia" w:ascii="宋体" w:hAnsi="宋体" w:cs="宋体"/>
          <w:color w:val="auto"/>
          <w:sz w:val="24"/>
          <w:highlight w:val="none"/>
        </w:rPr>
        <w:t>1.1采购人：是指依法开展政府采购活动的国家机关、事业单位、团体组织。本项目的采购人见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663AFB9C">
      <w:pPr>
        <w:tabs>
          <w:tab w:val="left" w:pos="0"/>
        </w:tabs>
        <w:spacing w:line="360" w:lineRule="auto"/>
        <w:ind w:left="2"/>
        <w:rPr>
          <w:rFonts w:ascii="宋体" w:hAnsi="宋体" w:cs="宋体"/>
          <w:color w:val="auto"/>
          <w:sz w:val="24"/>
          <w:highlight w:val="none"/>
        </w:rPr>
      </w:pPr>
      <w:r>
        <w:rPr>
          <w:rFonts w:hint="eastAsia" w:ascii="宋体" w:hAnsi="宋体" w:cs="宋体"/>
          <w:color w:val="auto"/>
          <w:sz w:val="24"/>
          <w:highlight w:val="none"/>
        </w:rPr>
        <w:t>1.2采购代理机构：是指集中采购机构或从事采购代理业务的社会中介机构，本项目的采购代理机构见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21457FE8">
      <w:pPr>
        <w:spacing w:line="360" w:lineRule="auto"/>
        <w:rPr>
          <w:rFonts w:ascii="宋体" w:hAnsi="宋体" w:cs="宋体"/>
          <w:color w:val="auto"/>
          <w:sz w:val="24"/>
          <w:highlight w:val="none"/>
        </w:rPr>
      </w:pPr>
      <w:bookmarkStart w:id="14" w:name="_Toc5286"/>
      <w:bookmarkStart w:id="15" w:name="_Toc12139"/>
      <w:bookmarkStart w:id="16" w:name="_Toc515647759"/>
      <w:r>
        <w:rPr>
          <w:rFonts w:hint="eastAsia" w:ascii="宋体" w:hAnsi="宋体" w:cs="宋体"/>
          <w:color w:val="auto"/>
          <w:sz w:val="24"/>
          <w:highlight w:val="none"/>
        </w:rPr>
        <w:t>1.3供应商：是指响应磋商、参加报价竞争的法人、其他组织或者自然人。潜在供应商：以竞争性磋商文件规定的方式获取本项目竞争性磋商文件的法人、其他组织或者自然人。</w:t>
      </w:r>
    </w:p>
    <w:p w14:paraId="31961374">
      <w:pPr>
        <w:spacing w:line="360" w:lineRule="auto"/>
        <w:rPr>
          <w:rFonts w:ascii="宋体" w:hAnsi="宋体" w:cs="宋体"/>
          <w:color w:val="auto"/>
          <w:sz w:val="24"/>
          <w:highlight w:val="none"/>
        </w:rPr>
      </w:pPr>
      <w:r>
        <w:rPr>
          <w:rFonts w:hint="eastAsia" w:ascii="宋体" w:hAnsi="宋体" w:cs="宋体"/>
          <w:color w:val="auto"/>
          <w:sz w:val="24"/>
          <w:highlight w:val="none"/>
        </w:rPr>
        <w:t>本项目的供应商须满足以下条件：</w:t>
      </w:r>
    </w:p>
    <w:p w14:paraId="72DBE2A8">
      <w:pPr>
        <w:spacing w:line="360" w:lineRule="auto"/>
        <w:ind w:left="850" w:hanging="849" w:hangingChars="354"/>
        <w:rPr>
          <w:rFonts w:hint="eastAsia" w:ascii="宋体" w:hAnsi="宋体" w:cs="宋体"/>
          <w:color w:val="auto"/>
          <w:sz w:val="24"/>
          <w:highlight w:val="none"/>
        </w:rPr>
      </w:pPr>
      <w:r>
        <w:rPr>
          <w:rFonts w:hint="eastAsia" w:ascii="宋体" w:hAnsi="宋体" w:cs="宋体"/>
          <w:color w:val="auto"/>
          <w:sz w:val="24"/>
          <w:highlight w:val="none"/>
        </w:rPr>
        <w:t>1.3.1在中华人民共和国境内注册，能够独立承担民事责任，具有提供服务能力的本国</w:t>
      </w:r>
    </w:p>
    <w:p w14:paraId="7134E80D">
      <w:pPr>
        <w:spacing w:line="360" w:lineRule="auto"/>
        <w:ind w:left="850" w:hanging="849" w:hangingChars="354"/>
        <w:rPr>
          <w:rFonts w:ascii="宋体" w:hAnsi="宋体" w:cs="宋体"/>
          <w:color w:val="auto"/>
          <w:sz w:val="24"/>
          <w:highlight w:val="none"/>
        </w:rPr>
      </w:pPr>
      <w:r>
        <w:rPr>
          <w:rFonts w:hint="eastAsia" w:ascii="宋体" w:hAnsi="宋体" w:cs="宋体"/>
          <w:color w:val="auto"/>
          <w:sz w:val="24"/>
          <w:highlight w:val="none"/>
        </w:rPr>
        <w:t>供应商。</w:t>
      </w:r>
    </w:p>
    <w:p w14:paraId="7A1E07E2">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1.3.2具备《中华人民共和国政府采购法》第二十二条关于供应商条件的规定，遵守本</w:t>
      </w:r>
    </w:p>
    <w:p w14:paraId="27D1CBB0">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项目采购人本级和上级财政部门政府采购的有关规定。</w:t>
      </w:r>
    </w:p>
    <w:p w14:paraId="376E0787">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1.3.3以竞争性磋商文件规定的方式获得了本项目的竞争性磋商文件。</w:t>
      </w:r>
    </w:p>
    <w:p w14:paraId="549718A4">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1.3.4符合</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中规定的其他资格要求。</w:t>
      </w:r>
    </w:p>
    <w:p w14:paraId="6CBF427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1.3.5若</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中写明专门面向中小企业采购的，如供应商为非中小企业，</w:t>
      </w:r>
    </w:p>
    <w:p w14:paraId="1E49D9A3">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其响应文件将被认定为无效响应。</w:t>
      </w:r>
    </w:p>
    <w:p w14:paraId="1F155630">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1.4如</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中允许联合体进行响应，对联合体规定如下：</w:t>
      </w:r>
    </w:p>
    <w:p w14:paraId="6F671F52">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1.4.1两个以上供应商可以组成一个联合体，以一个供应商的身份响应。</w:t>
      </w:r>
    </w:p>
    <w:p w14:paraId="3B46A4EA">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1.4.2联合体各方均应符合1.3.2规定。</w:t>
      </w:r>
    </w:p>
    <w:p w14:paraId="73EE4768">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1.4.3采购人根据采购项目对供应商的特殊要求，联合体中至少应当有一方符合相关规</w:t>
      </w:r>
    </w:p>
    <w:p w14:paraId="1429A90C">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定。</w:t>
      </w:r>
    </w:p>
    <w:p w14:paraId="2A5CC3A8">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1.4.4联合体各方应签订共同响应协议，明确约定联合体各方承担的工作和相应的责任，</w:t>
      </w:r>
    </w:p>
    <w:p w14:paraId="2D89CAE5">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并将共同响应协议连同响应文件一并提交，否则其响应文件将被认定为响应文件无效。</w:t>
      </w:r>
    </w:p>
    <w:p w14:paraId="1DE12F7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1.4.5大中型企业、其他自然人、法人或者其他组织与小型、微型企业组成联合体共同</w:t>
      </w:r>
    </w:p>
    <w:p w14:paraId="323E2D2A">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参加响应，共同响应协议中应写明小型、微型企业的协议合同金额占到共同响应协议响</w:t>
      </w:r>
    </w:p>
    <w:p w14:paraId="1DC9918D">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应总金额的比例。</w:t>
      </w:r>
    </w:p>
    <w:p w14:paraId="3C2DE3FA">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1.4.6以联合体形式参加政府采购活动的，联合体各方不得再单独参加或者与其他供应</w:t>
      </w:r>
    </w:p>
    <w:p w14:paraId="6D8F2A45">
      <w:pPr>
        <w:spacing w:line="360" w:lineRule="auto"/>
        <w:ind w:left="900" w:hanging="900" w:hangingChars="375"/>
        <w:rPr>
          <w:rFonts w:ascii="宋体" w:hAnsi="宋体" w:cs="宋体"/>
          <w:b/>
          <w:color w:val="auto"/>
          <w:sz w:val="24"/>
          <w:highlight w:val="none"/>
        </w:rPr>
      </w:pPr>
      <w:r>
        <w:rPr>
          <w:rFonts w:hint="eastAsia" w:ascii="宋体" w:hAnsi="宋体" w:cs="宋体"/>
          <w:color w:val="auto"/>
          <w:sz w:val="24"/>
          <w:highlight w:val="none"/>
        </w:rPr>
        <w:t>商另外组成联合体参加本项目，否则其响应文件将被认定为</w:t>
      </w:r>
      <w:r>
        <w:rPr>
          <w:rFonts w:hint="eastAsia" w:ascii="宋体" w:hAnsi="宋体" w:cs="宋体"/>
          <w:b/>
          <w:color w:val="auto"/>
          <w:sz w:val="24"/>
          <w:highlight w:val="none"/>
        </w:rPr>
        <w:t>响应文件无效。</w:t>
      </w:r>
    </w:p>
    <w:p w14:paraId="6E8AC157">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1.4.7对联合体响应的其他资格要求见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30F377CD">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1.5单位负责人为同一人或者存在直接控股、管理关系的不同供应商，不得参加同一合</w:t>
      </w:r>
    </w:p>
    <w:p w14:paraId="61774443">
      <w:pPr>
        <w:spacing w:line="360" w:lineRule="auto"/>
        <w:ind w:left="900" w:hanging="900" w:hangingChars="375"/>
        <w:rPr>
          <w:rFonts w:ascii="宋体" w:hAnsi="宋体" w:cs="宋体"/>
          <w:b/>
          <w:color w:val="auto"/>
          <w:sz w:val="24"/>
          <w:highlight w:val="none"/>
        </w:rPr>
      </w:pPr>
      <w:r>
        <w:rPr>
          <w:rFonts w:hint="eastAsia" w:ascii="宋体" w:hAnsi="宋体" w:cs="宋体"/>
          <w:color w:val="auto"/>
          <w:sz w:val="24"/>
          <w:highlight w:val="none"/>
        </w:rPr>
        <w:t>同项下的政府采购活动，否则其相关响应文件均将被认定为</w:t>
      </w:r>
      <w:r>
        <w:rPr>
          <w:rFonts w:hint="eastAsia" w:ascii="宋体" w:hAnsi="宋体" w:cs="宋体"/>
          <w:b/>
          <w:color w:val="auto"/>
          <w:sz w:val="24"/>
          <w:highlight w:val="none"/>
        </w:rPr>
        <w:t>响应文件无效。</w:t>
      </w:r>
    </w:p>
    <w:p w14:paraId="42F41A2B">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供应商在磋商过程中不得向采购人提供、给予任何有价值的物品，影响其正常决策</w:t>
      </w:r>
    </w:p>
    <w:p w14:paraId="072E8AB8">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ascii="宋体" w:hAnsi="宋体" w:cs="宋体"/>
          <w:b w:val="0"/>
          <w:bCs/>
          <w:color w:val="auto"/>
          <w:sz w:val="24"/>
          <w:highlight w:val="none"/>
        </w:rPr>
      </w:pPr>
      <w:r>
        <w:rPr>
          <w:rFonts w:hint="eastAsia" w:ascii="宋体" w:hAnsi="宋体" w:cs="宋体"/>
          <w:color w:val="auto"/>
          <w:sz w:val="24"/>
          <w:highlight w:val="none"/>
        </w:rPr>
        <w:t>行为。一经发现，其将被认定为</w:t>
      </w:r>
      <w:r>
        <w:rPr>
          <w:rFonts w:hint="eastAsia" w:ascii="宋体" w:hAnsi="宋体" w:cs="宋体"/>
          <w:b/>
          <w:color w:val="auto"/>
          <w:sz w:val="24"/>
          <w:highlight w:val="none"/>
        </w:rPr>
        <w:t>响应文件无效</w:t>
      </w:r>
      <w:r>
        <w:rPr>
          <w:rFonts w:hint="eastAsia" w:ascii="宋体" w:hAnsi="宋体" w:cs="宋体"/>
          <w:b/>
          <w:color w:val="auto"/>
          <w:sz w:val="24"/>
          <w:highlight w:val="none"/>
          <w:lang w:eastAsia="zh-CN"/>
        </w:rPr>
        <w:t>，</w:t>
      </w:r>
      <w:r>
        <w:rPr>
          <w:rFonts w:hint="eastAsia" w:ascii="宋体" w:hAnsi="宋体" w:cs="宋体"/>
          <w:b w:val="0"/>
          <w:bCs/>
          <w:color w:val="auto"/>
          <w:sz w:val="24"/>
          <w:highlight w:val="none"/>
          <w:lang w:eastAsia="zh-CN"/>
        </w:rPr>
        <w:t>（</w:t>
      </w:r>
      <w:r>
        <w:rPr>
          <w:rFonts w:hint="eastAsia" w:ascii="宋体" w:hAnsi="宋体" w:cs="宋体"/>
          <w:b w:val="0"/>
          <w:bCs/>
          <w:color w:val="auto"/>
          <w:sz w:val="24"/>
          <w:highlight w:val="none"/>
          <w:lang w:val="en-US" w:eastAsia="zh-CN"/>
        </w:rPr>
        <w:t>为响应采购人要求，或为更清晰地表达响应文件中的方案、技术或产品性能，而提供的供评审参考所需的样品除外</w:t>
      </w:r>
      <w:r>
        <w:rPr>
          <w:rFonts w:hint="eastAsia" w:ascii="宋体" w:hAnsi="宋体" w:cs="宋体"/>
          <w:b w:val="0"/>
          <w:bCs/>
          <w:color w:val="auto"/>
          <w:sz w:val="24"/>
          <w:highlight w:val="none"/>
        </w:rPr>
        <w:t>。</w:t>
      </w:r>
      <w:r>
        <w:rPr>
          <w:rFonts w:hint="eastAsia" w:ascii="宋体" w:hAnsi="宋体" w:cs="宋体"/>
          <w:b w:val="0"/>
          <w:bCs/>
          <w:color w:val="auto"/>
          <w:sz w:val="24"/>
          <w:highlight w:val="none"/>
          <w:lang w:eastAsia="zh-CN"/>
        </w:rPr>
        <w:t>）</w:t>
      </w:r>
    </w:p>
    <w:p w14:paraId="71B6DE93">
      <w:pPr>
        <w:spacing w:line="360" w:lineRule="auto"/>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各供应商须对本项目指定一个项目</w:t>
      </w:r>
      <w:r>
        <w:rPr>
          <w:rFonts w:hint="eastAsia" w:ascii="宋体" w:hAnsi="宋体" w:cs="宋体"/>
          <w:color w:val="auto"/>
          <w:sz w:val="24"/>
          <w:highlight w:val="none"/>
          <w:lang w:val="en-US" w:eastAsia="zh-CN"/>
        </w:rPr>
        <w:t>经理</w:t>
      </w:r>
      <w:r>
        <w:rPr>
          <w:rFonts w:hint="eastAsia" w:ascii="宋体" w:hAnsi="宋体" w:cs="宋体"/>
          <w:color w:val="auto"/>
          <w:sz w:val="24"/>
          <w:highlight w:val="none"/>
        </w:rPr>
        <w:t>，对本项目所有事宜全程负责。未经采购人同意中途不得更换项目</w:t>
      </w:r>
      <w:r>
        <w:rPr>
          <w:rFonts w:hint="eastAsia" w:ascii="宋体" w:hAnsi="宋体" w:cs="宋体"/>
          <w:color w:val="auto"/>
          <w:sz w:val="24"/>
          <w:highlight w:val="none"/>
          <w:lang w:val="en-US" w:eastAsia="zh-CN"/>
        </w:rPr>
        <w:t>经理</w:t>
      </w:r>
      <w:r>
        <w:rPr>
          <w:rFonts w:hint="eastAsia" w:ascii="宋体" w:hAnsi="宋体" w:cs="宋体"/>
          <w:color w:val="auto"/>
          <w:sz w:val="24"/>
          <w:highlight w:val="none"/>
        </w:rPr>
        <w:t>。</w:t>
      </w:r>
    </w:p>
    <w:p w14:paraId="0B6997B6">
      <w:pPr>
        <w:pStyle w:val="5"/>
        <w:spacing w:before="0" w:after="0" w:line="360" w:lineRule="auto"/>
        <w:rPr>
          <w:rFonts w:hAnsi="宋体" w:cs="宋体"/>
          <w:color w:val="auto"/>
          <w:highlight w:val="none"/>
          <w:u w:val="none"/>
        </w:rPr>
      </w:pPr>
      <w:bookmarkStart w:id="17" w:name="_Toc5368"/>
      <w:r>
        <w:rPr>
          <w:rFonts w:hint="eastAsia" w:hAnsi="宋体" w:cs="宋体"/>
          <w:color w:val="auto"/>
          <w:highlight w:val="none"/>
          <w:u w:val="none"/>
        </w:rPr>
        <w:t>2.资金来源</w:t>
      </w:r>
      <w:bookmarkEnd w:id="14"/>
      <w:bookmarkEnd w:id="15"/>
      <w:bookmarkEnd w:id="16"/>
      <w:bookmarkEnd w:id="17"/>
    </w:p>
    <w:p w14:paraId="25DF3F6E">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2.1本项目的采购人已获得足以支付本次磋商后所签订的合同项下的资金（包括财政性</w:t>
      </w:r>
    </w:p>
    <w:p w14:paraId="3A77D9A2">
      <w:pPr>
        <w:spacing w:line="360" w:lineRule="auto"/>
        <w:ind w:left="900" w:hanging="900" w:hangingChars="375"/>
        <w:jc w:val="left"/>
        <w:rPr>
          <w:rFonts w:hint="eastAsia" w:ascii="宋体" w:hAnsi="宋体" w:cs="宋体"/>
          <w:color w:val="auto"/>
          <w:sz w:val="24"/>
          <w:highlight w:val="none"/>
        </w:rPr>
      </w:pPr>
      <w:r>
        <w:rPr>
          <w:rFonts w:hint="eastAsia" w:ascii="宋体" w:hAnsi="宋体" w:cs="宋体"/>
          <w:color w:val="auto"/>
          <w:sz w:val="24"/>
          <w:highlight w:val="none"/>
        </w:rPr>
        <w:t>资金和本项目采购中无法与财政性资金分割的非财政性资金，预采购项目除外）。</w:t>
      </w:r>
    </w:p>
    <w:p w14:paraId="4F9CC85A">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2.2项目预算金额和分项或分包最高限价</w:t>
      </w:r>
      <w:r>
        <w:rPr>
          <w:rFonts w:hint="eastAsia" w:ascii="宋体" w:hAnsi="宋体" w:cs="宋体"/>
          <w:color w:val="auto"/>
          <w:sz w:val="24"/>
          <w:highlight w:val="none"/>
          <w:u w:val="single"/>
        </w:rPr>
        <w:t>见供应商须知资料表</w:t>
      </w:r>
      <w:r>
        <w:rPr>
          <w:rFonts w:hint="eastAsia" w:ascii="宋体" w:hAnsi="宋体" w:cs="宋体"/>
          <w:color w:val="auto"/>
          <w:sz w:val="24"/>
          <w:highlight w:val="none"/>
        </w:rPr>
        <w:t>。</w:t>
      </w:r>
    </w:p>
    <w:p w14:paraId="03945D7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2.3供应商报价超过竞争性磋商文件规定的预算金额或者分项、分包最高限价的，其响</w:t>
      </w:r>
    </w:p>
    <w:p w14:paraId="52A7C6F2">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应文件将被认定为</w:t>
      </w:r>
      <w:r>
        <w:rPr>
          <w:rFonts w:hint="eastAsia" w:ascii="宋体" w:hAnsi="宋体" w:cs="宋体"/>
          <w:b/>
          <w:color w:val="auto"/>
          <w:sz w:val="24"/>
          <w:highlight w:val="none"/>
        </w:rPr>
        <w:t>响应文件无效</w:t>
      </w:r>
      <w:r>
        <w:rPr>
          <w:rFonts w:hint="eastAsia" w:ascii="宋体" w:hAnsi="宋体" w:cs="宋体"/>
          <w:color w:val="auto"/>
          <w:sz w:val="24"/>
          <w:highlight w:val="none"/>
        </w:rPr>
        <w:t>。</w:t>
      </w:r>
    </w:p>
    <w:p w14:paraId="4020BF99">
      <w:pPr>
        <w:pStyle w:val="5"/>
        <w:spacing w:before="0" w:after="0" w:line="360" w:lineRule="auto"/>
        <w:rPr>
          <w:rFonts w:hAnsi="宋体" w:cs="宋体"/>
          <w:color w:val="auto"/>
          <w:highlight w:val="none"/>
          <w:u w:val="none"/>
        </w:rPr>
      </w:pPr>
      <w:bookmarkStart w:id="18" w:name="_Toc520356145"/>
      <w:bookmarkStart w:id="19" w:name="_Toc20526"/>
      <w:bookmarkStart w:id="20" w:name="_Toc15936"/>
      <w:bookmarkStart w:id="21" w:name="_Toc13425"/>
      <w:bookmarkStart w:id="22" w:name="_Toc515647760"/>
      <w:r>
        <w:rPr>
          <w:rFonts w:hint="eastAsia" w:hAnsi="宋体" w:cs="宋体"/>
          <w:color w:val="auto"/>
          <w:highlight w:val="none"/>
          <w:u w:val="none"/>
        </w:rPr>
        <w:t>3.响应费用</w:t>
      </w:r>
      <w:bookmarkEnd w:id="18"/>
      <w:bookmarkEnd w:id="19"/>
      <w:bookmarkEnd w:id="20"/>
      <w:bookmarkEnd w:id="21"/>
      <w:bookmarkEnd w:id="22"/>
    </w:p>
    <w:p w14:paraId="4E91EC72">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ascii="宋体" w:hAnsi="宋体" w:cs="宋体"/>
          <w:color w:val="auto"/>
          <w:sz w:val="24"/>
          <w:highlight w:val="none"/>
        </w:rPr>
      </w:pPr>
      <w:r>
        <w:rPr>
          <w:rFonts w:hint="eastAsia" w:ascii="宋体" w:hAnsi="宋体" w:cs="宋体"/>
          <w:color w:val="auto"/>
          <w:sz w:val="24"/>
          <w:highlight w:val="none"/>
        </w:rPr>
        <w:t>供应商应自行承担其准备和参加响应文件活动发生的所有费用。不论响应文件结果如何，采购人及采购代理机构在任何情况下无义务也无责任承担这些费用。</w:t>
      </w:r>
    </w:p>
    <w:p w14:paraId="2F4F0BB6">
      <w:pPr>
        <w:pStyle w:val="5"/>
        <w:spacing w:before="0" w:after="0" w:line="360" w:lineRule="auto"/>
        <w:rPr>
          <w:rFonts w:hAnsi="宋体" w:cs="宋体"/>
          <w:color w:val="auto"/>
          <w:highlight w:val="none"/>
          <w:u w:val="none"/>
        </w:rPr>
      </w:pPr>
      <w:bookmarkStart w:id="23" w:name="_Toc6116"/>
      <w:bookmarkStart w:id="24" w:name="_Toc4463"/>
      <w:bookmarkStart w:id="25" w:name="_Toc3884"/>
      <w:bookmarkStart w:id="26" w:name="_Toc515647761"/>
      <w:r>
        <w:rPr>
          <w:rFonts w:hint="eastAsia" w:hAnsi="宋体" w:cs="宋体"/>
          <w:color w:val="auto"/>
          <w:highlight w:val="none"/>
          <w:u w:val="none"/>
        </w:rPr>
        <w:t>4.适用法律</w:t>
      </w:r>
      <w:bookmarkEnd w:id="23"/>
      <w:bookmarkEnd w:id="24"/>
      <w:bookmarkEnd w:id="25"/>
      <w:bookmarkEnd w:id="26"/>
    </w:p>
    <w:p w14:paraId="67531B95">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本项目采购人、采购代理机构、供应商、磋商小组的相关行为均受《中华人民共和国政</w:t>
      </w:r>
    </w:p>
    <w:p w14:paraId="40DC130F">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府采购法》、《中华人民共和国政府采购法实施条例》及本项目本级和上级财政部门政</w:t>
      </w:r>
    </w:p>
    <w:p w14:paraId="217FE7DC">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府采购有关规定的约束和保护。</w:t>
      </w:r>
    </w:p>
    <w:p w14:paraId="2755336F">
      <w:pPr>
        <w:spacing w:line="360" w:lineRule="auto"/>
        <w:rPr>
          <w:rFonts w:ascii="宋体" w:hAnsi="宋体" w:cs="宋体"/>
          <w:color w:val="auto"/>
          <w:sz w:val="24"/>
          <w:highlight w:val="none"/>
        </w:rPr>
      </w:pPr>
    </w:p>
    <w:p w14:paraId="3763FC4B">
      <w:pPr>
        <w:pStyle w:val="3"/>
        <w:spacing w:before="0" w:line="360" w:lineRule="auto"/>
        <w:jc w:val="both"/>
        <w:rPr>
          <w:rFonts w:hint="eastAsia" w:ascii="宋体" w:hAnsi="宋体" w:eastAsia="宋体" w:cs="宋体"/>
          <w:color w:val="auto"/>
          <w:sz w:val="28"/>
          <w:highlight w:val="none"/>
        </w:rPr>
      </w:pPr>
      <w:bookmarkStart w:id="27" w:name="_Toc4365"/>
      <w:bookmarkStart w:id="28" w:name="_Toc8121"/>
      <w:bookmarkStart w:id="29" w:name="_Toc515647762"/>
      <w:bookmarkStart w:id="30" w:name="_Toc520356146"/>
      <w:bookmarkStart w:id="31" w:name="_Toc216582806"/>
      <w:bookmarkStart w:id="32" w:name="_Toc21566"/>
    </w:p>
    <w:p w14:paraId="09FDD68A">
      <w:pPr>
        <w:pStyle w:val="4"/>
        <w:rPr>
          <w:rFonts w:hint="eastAsia" w:ascii="宋体" w:hAnsi="宋体" w:eastAsia="宋体" w:cs="宋体"/>
          <w:color w:val="auto"/>
          <w:sz w:val="28"/>
          <w:highlight w:val="none"/>
        </w:rPr>
      </w:pPr>
    </w:p>
    <w:p w14:paraId="50E3F3CC">
      <w:pPr>
        <w:pStyle w:val="4"/>
        <w:rPr>
          <w:rFonts w:hint="eastAsia" w:ascii="宋体" w:hAnsi="宋体" w:eastAsia="宋体" w:cs="宋体"/>
          <w:color w:val="auto"/>
          <w:sz w:val="28"/>
          <w:highlight w:val="none"/>
        </w:rPr>
      </w:pPr>
    </w:p>
    <w:p w14:paraId="58AFE947">
      <w:pPr>
        <w:pStyle w:val="3"/>
        <w:spacing w:before="0" w:line="360" w:lineRule="auto"/>
        <w:jc w:val="both"/>
        <w:rPr>
          <w:rFonts w:hint="eastAsia" w:ascii="宋体" w:hAnsi="宋体" w:eastAsia="宋体" w:cs="宋体"/>
          <w:color w:val="auto"/>
          <w:sz w:val="28"/>
          <w:highlight w:val="none"/>
        </w:rPr>
      </w:pPr>
    </w:p>
    <w:p w14:paraId="43850A60">
      <w:pPr>
        <w:pStyle w:val="3"/>
        <w:spacing w:before="0" w:line="360" w:lineRule="auto"/>
        <w:ind w:left="565" w:leftChars="12" w:hanging="540"/>
        <w:rPr>
          <w:rFonts w:ascii="宋体" w:hAnsi="宋体" w:eastAsia="宋体" w:cs="宋体"/>
          <w:color w:val="auto"/>
          <w:sz w:val="28"/>
          <w:highlight w:val="none"/>
        </w:rPr>
      </w:pPr>
      <w:r>
        <w:rPr>
          <w:rFonts w:hint="eastAsia" w:ascii="宋体" w:hAnsi="宋体" w:eastAsia="宋体" w:cs="宋体"/>
          <w:color w:val="auto"/>
          <w:sz w:val="28"/>
          <w:highlight w:val="none"/>
        </w:rPr>
        <w:t>二、竞争性磋商文件</w:t>
      </w:r>
      <w:bookmarkEnd w:id="27"/>
      <w:bookmarkEnd w:id="28"/>
      <w:bookmarkEnd w:id="29"/>
      <w:bookmarkEnd w:id="30"/>
      <w:bookmarkEnd w:id="31"/>
      <w:bookmarkEnd w:id="32"/>
    </w:p>
    <w:p w14:paraId="1105F50B">
      <w:pPr>
        <w:pStyle w:val="4"/>
        <w:spacing w:line="360" w:lineRule="auto"/>
        <w:rPr>
          <w:rFonts w:hAnsi="宋体" w:cs="宋体"/>
          <w:color w:val="auto"/>
          <w:highlight w:val="none"/>
        </w:rPr>
      </w:pPr>
    </w:p>
    <w:p w14:paraId="5090727A">
      <w:pPr>
        <w:pStyle w:val="5"/>
        <w:spacing w:before="0" w:after="0" w:line="360" w:lineRule="auto"/>
        <w:rPr>
          <w:rFonts w:hAnsi="宋体" w:cs="宋体"/>
          <w:color w:val="auto"/>
          <w:highlight w:val="none"/>
          <w:u w:val="none"/>
        </w:rPr>
      </w:pPr>
      <w:bookmarkStart w:id="33" w:name="_Toc26433"/>
      <w:bookmarkStart w:id="34" w:name="_Toc14084"/>
      <w:bookmarkStart w:id="35" w:name="_Toc520356147"/>
      <w:bookmarkStart w:id="36" w:name="_Toc25743"/>
      <w:bookmarkStart w:id="37" w:name="_Toc515647763"/>
      <w:r>
        <w:rPr>
          <w:rFonts w:hint="eastAsia" w:hAnsi="宋体" w:cs="宋体"/>
          <w:color w:val="auto"/>
          <w:highlight w:val="none"/>
          <w:u w:val="none"/>
        </w:rPr>
        <w:t>5.竞争性磋商文件构成</w:t>
      </w:r>
      <w:bookmarkEnd w:id="33"/>
      <w:bookmarkEnd w:id="34"/>
      <w:bookmarkEnd w:id="35"/>
      <w:bookmarkEnd w:id="36"/>
      <w:bookmarkEnd w:id="37"/>
    </w:p>
    <w:p w14:paraId="1501DC98">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5.1竞争性磋商文件分为2册共7章，内容如下：</w:t>
      </w:r>
    </w:p>
    <w:p w14:paraId="44C17342">
      <w:pPr>
        <w:spacing w:line="360" w:lineRule="auto"/>
        <w:ind w:left="1079" w:leftChars="428" w:hanging="180" w:hangingChars="75"/>
        <w:rPr>
          <w:rFonts w:ascii="宋体" w:hAnsi="宋体" w:cs="宋体"/>
          <w:color w:val="auto"/>
          <w:sz w:val="24"/>
          <w:highlight w:val="none"/>
        </w:rPr>
      </w:pPr>
      <w:r>
        <w:rPr>
          <w:rFonts w:hint="eastAsia" w:ascii="宋体" w:hAnsi="宋体" w:cs="宋体"/>
          <w:color w:val="auto"/>
          <w:sz w:val="24"/>
          <w:highlight w:val="none"/>
        </w:rPr>
        <w:t>第一册</w:t>
      </w:r>
    </w:p>
    <w:p w14:paraId="2DBA60FC">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供应商须知</w:t>
      </w:r>
    </w:p>
    <w:p w14:paraId="38273446">
      <w:p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第二册</w:t>
      </w:r>
    </w:p>
    <w:p w14:paraId="429A0F6A">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采购邀请</w:t>
      </w:r>
    </w:p>
    <w:p w14:paraId="0DD5D4D4">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供应商须知资料表</w:t>
      </w:r>
    </w:p>
    <w:p w14:paraId="5AD696FC">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服务需求</w:t>
      </w:r>
    </w:p>
    <w:p w14:paraId="71D85373">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评审方法和标准</w:t>
      </w:r>
    </w:p>
    <w:p w14:paraId="549C656A">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响应文件格式</w:t>
      </w:r>
    </w:p>
    <w:p w14:paraId="233F7A21">
      <w:pPr>
        <w:numPr>
          <w:ilvl w:val="0"/>
          <w:numId w:val="1"/>
        </w:numPr>
        <w:spacing w:line="360" w:lineRule="auto"/>
        <w:ind w:left="1081" w:leftChars="429" w:hanging="180"/>
        <w:rPr>
          <w:rFonts w:ascii="宋体" w:hAnsi="宋体" w:cs="宋体"/>
          <w:color w:val="auto"/>
          <w:sz w:val="24"/>
          <w:highlight w:val="none"/>
        </w:rPr>
      </w:pPr>
      <w:r>
        <w:rPr>
          <w:rFonts w:hint="eastAsia" w:ascii="宋体" w:hAnsi="宋体" w:cs="宋体"/>
          <w:color w:val="auto"/>
          <w:sz w:val="24"/>
          <w:highlight w:val="none"/>
        </w:rPr>
        <w:t>政府采购合同格式</w:t>
      </w:r>
    </w:p>
    <w:p w14:paraId="62C7A7C4">
      <w:pPr>
        <w:spacing w:line="360" w:lineRule="auto"/>
        <w:ind w:left="850" w:hanging="849" w:hangingChars="354"/>
        <w:rPr>
          <w:rFonts w:hint="eastAsia" w:ascii="宋体" w:hAnsi="宋体" w:cs="宋体"/>
          <w:color w:val="auto"/>
          <w:sz w:val="24"/>
          <w:highlight w:val="none"/>
        </w:rPr>
      </w:pPr>
      <w:r>
        <w:rPr>
          <w:rFonts w:hint="eastAsia" w:ascii="宋体" w:hAnsi="宋体" w:cs="宋体"/>
          <w:color w:val="auto"/>
          <w:sz w:val="24"/>
          <w:highlight w:val="none"/>
        </w:rPr>
        <w:t>5.2竞争性磋商文件中有不一致的，有澄清的部分以最终的澄清更正内容为准；未澄清</w:t>
      </w:r>
    </w:p>
    <w:p w14:paraId="08792791">
      <w:pPr>
        <w:spacing w:line="360" w:lineRule="auto"/>
        <w:ind w:left="850" w:hanging="849" w:hangingChars="354"/>
        <w:rPr>
          <w:rFonts w:hint="eastAsia" w:ascii="宋体" w:hAnsi="宋体" w:cs="宋体"/>
          <w:color w:val="auto"/>
          <w:sz w:val="24"/>
          <w:highlight w:val="none"/>
        </w:rPr>
      </w:pPr>
      <w:r>
        <w:rPr>
          <w:rFonts w:hint="eastAsia" w:ascii="宋体" w:hAnsi="宋体" w:cs="宋体"/>
          <w:color w:val="auto"/>
          <w:sz w:val="24"/>
          <w:highlight w:val="none"/>
        </w:rPr>
        <w:t>的，以供应商须知资料表为准；供应商须知资料表不涉及的内容，以编排在后的描述为</w:t>
      </w:r>
    </w:p>
    <w:p w14:paraId="1237313B">
      <w:pPr>
        <w:spacing w:line="360" w:lineRule="auto"/>
        <w:ind w:left="850" w:hanging="849" w:hangingChars="354"/>
        <w:rPr>
          <w:rFonts w:ascii="宋体" w:hAnsi="宋体" w:cs="宋体"/>
          <w:color w:val="auto"/>
          <w:sz w:val="24"/>
          <w:highlight w:val="none"/>
        </w:rPr>
      </w:pPr>
      <w:r>
        <w:rPr>
          <w:rFonts w:hint="eastAsia" w:ascii="宋体" w:hAnsi="宋体" w:cs="宋体"/>
          <w:color w:val="auto"/>
          <w:sz w:val="24"/>
          <w:highlight w:val="none"/>
        </w:rPr>
        <w:t>准。</w:t>
      </w:r>
    </w:p>
    <w:p w14:paraId="520F4405">
      <w:pPr>
        <w:spacing w:line="360" w:lineRule="auto"/>
        <w:ind w:left="850" w:hanging="849" w:hangingChars="354"/>
        <w:rPr>
          <w:rFonts w:hint="eastAsia" w:ascii="宋体" w:hAnsi="宋体" w:cs="宋体"/>
          <w:color w:val="auto"/>
          <w:sz w:val="24"/>
          <w:highlight w:val="none"/>
        </w:rPr>
      </w:pPr>
      <w:r>
        <w:rPr>
          <w:rFonts w:hint="eastAsia" w:ascii="宋体" w:hAnsi="宋体" w:cs="宋体"/>
          <w:color w:val="auto"/>
          <w:sz w:val="24"/>
          <w:highlight w:val="none"/>
        </w:rPr>
        <w:t>5.3供应商应认真阅读竞争性磋商文件所有的事项、格式、条款和技术规范等。如供应</w:t>
      </w:r>
    </w:p>
    <w:p w14:paraId="6277CE7C">
      <w:pPr>
        <w:spacing w:line="360" w:lineRule="auto"/>
        <w:ind w:left="850" w:hanging="849" w:hangingChars="354"/>
        <w:rPr>
          <w:rFonts w:hint="eastAsia" w:ascii="宋体" w:hAnsi="宋体" w:cs="宋体"/>
          <w:color w:val="auto"/>
          <w:sz w:val="24"/>
          <w:highlight w:val="none"/>
        </w:rPr>
      </w:pPr>
      <w:r>
        <w:rPr>
          <w:rFonts w:hint="eastAsia" w:ascii="宋体" w:hAnsi="宋体" w:cs="宋体"/>
          <w:color w:val="auto"/>
          <w:sz w:val="24"/>
          <w:highlight w:val="none"/>
        </w:rPr>
        <w:t>商没有按照竞争性磋商文件要求提交全部资料，或者响应文件没有对竞争性磋商文件在</w:t>
      </w:r>
    </w:p>
    <w:p w14:paraId="7DDA7DBE">
      <w:pPr>
        <w:spacing w:line="360" w:lineRule="auto"/>
        <w:ind w:left="850" w:hanging="849" w:hangingChars="354"/>
        <w:rPr>
          <w:rFonts w:ascii="宋体" w:hAnsi="宋体" w:cs="宋体"/>
          <w:color w:val="auto"/>
          <w:sz w:val="24"/>
          <w:highlight w:val="none"/>
        </w:rPr>
      </w:pPr>
      <w:r>
        <w:rPr>
          <w:rFonts w:hint="eastAsia" w:ascii="宋体" w:hAnsi="宋体" w:cs="宋体"/>
          <w:color w:val="auto"/>
          <w:sz w:val="24"/>
          <w:highlight w:val="none"/>
        </w:rPr>
        <w:t>各方面都做出实质性响应，可能导致其响应文件将被认定为无效，</w:t>
      </w:r>
      <w:r>
        <w:rPr>
          <w:rFonts w:hint="eastAsia" w:ascii="宋体" w:hAnsi="宋体" w:cs="宋体"/>
          <w:b/>
          <w:color w:val="auto"/>
          <w:sz w:val="24"/>
          <w:highlight w:val="none"/>
        </w:rPr>
        <w:t>该风险由供应商承担。</w:t>
      </w:r>
    </w:p>
    <w:p w14:paraId="1730C6F3">
      <w:pPr>
        <w:spacing w:line="360" w:lineRule="auto"/>
        <w:ind w:left="900" w:hanging="900" w:hangingChars="375"/>
        <w:rPr>
          <w:rFonts w:ascii="宋体" w:hAnsi="宋体" w:cs="宋体"/>
          <w:color w:val="auto"/>
          <w:sz w:val="24"/>
          <w:highlight w:val="none"/>
        </w:rPr>
      </w:pPr>
      <w:bookmarkStart w:id="38" w:name="_Toc520356148"/>
      <w:bookmarkStart w:id="39" w:name="_Toc515904805"/>
      <w:bookmarkStart w:id="40" w:name="_Toc9232"/>
      <w:bookmarkStart w:id="41" w:name="_Toc26044"/>
      <w:r>
        <w:rPr>
          <w:rFonts w:hint="eastAsia" w:ascii="宋体" w:hAnsi="宋体" w:cs="宋体"/>
          <w:color w:val="auto"/>
          <w:sz w:val="24"/>
          <w:highlight w:val="none"/>
        </w:rPr>
        <w:t>5.4现场考察或者答疑会及相关事项见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5777AB0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5.4.1</w:t>
      </w:r>
      <w:r>
        <w:rPr>
          <w:rFonts w:hint="eastAsia" w:ascii="宋体" w:hAnsi="宋体" w:cs="宋体"/>
          <w:color w:val="auto"/>
          <w:sz w:val="24"/>
          <w:highlight w:val="none"/>
          <w:lang w:val="en-US" w:eastAsia="zh-CN"/>
        </w:rPr>
        <w:t>竞争性磋商文件</w:t>
      </w:r>
      <w:r>
        <w:rPr>
          <w:rFonts w:hint="eastAsia" w:ascii="宋体" w:hAnsi="宋体" w:cs="宋体"/>
          <w:color w:val="auto"/>
          <w:sz w:val="24"/>
          <w:highlight w:val="none"/>
        </w:rPr>
        <w:t>第二册第三部分“供应商须知资料表”规定组织踏勘现场的，采购人或采购代理机构按规定的时间、地点组织供应商踏勘项目现场，踏勘现场所发生的费用由供应商承担。</w:t>
      </w:r>
    </w:p>
    <w:p w14:paraId="526B6FA3">
      <w:pPr>
        <w:spacing w:line="360" w:lineRule="auto"/>
        <w:ind w:left="840" w:hanging="840" w:hangingChars="350"/>
        <w:rPr>
          <w:rFonts w:hint="eastAsia" w:ascii="宋体" w:hAnsi="宋体" w:cs="宋体"/>
          <w:color w:val="auto"/>
          <w:sz w:val="24"/>
          <w:highlight w:val="none"/>
        </w:rPr>
      </w:pPr>
      <w:r>
        <w:rPr>
          <w:rFonts w:hint="eastAsia" w:ascii="宋体" w:hAnsi="宋体" w:cs="宋体"/>
          <w:color w:val="auto"/>
          <w:sz w:val="24"/>
          <w:highlight w:val="none"/>
        </w:rPr>
        <w:t>5.4.2采购人向供应商提供的有关现场的资料和数据，是采购人现有的能使供应商利用</w:t>
      </w:r>
    </w:p>
    <w:p w14:paraId="6F075CD1">
      <w:pPr>
        <w:spacing w:line="360" w:lineRule="auto"/>
        <w:ind w:left="840" w:hanging="840" w:hangingChars="350"/>
        <w:rPr>
          <w:rFonts w:ascii="宋体" w:hAnsi="宋体" w:cs="宋体"/>
          <w:color w:val="auto"/>
          <w:sz w:val="24"/>
          <w:highlight w:val="none"/>
        </w:rPr>
      </w:pPr>
      <w:r>
        <w:rPr>
          <w:rFonts w:hint="eastAsia" w:ascii="宋体" w:hAnsi="宋体" w:cs="宋体"/>
          <w:color w:val="auto"/>
          <w:sz w:val="24"/>
          <w:highlight w:val="none"/>
        </w:rPr>
        <w:t>的资料，采购人对供应商由此而做出的推论、理解和结论概不负责。</w:t>
      </w:r>
    </w:p>
    <w:p w14:paraId="0B6D71A3">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5.4.3供应商经过采购人的允许，可进入项目现场踏勘，对服务（或施工和货物）现场</w:t>
      </w:r>
    </w:p>
    <w:p w14:paraId="618C356B">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ascii="宋体" w:hAnsi="宋体" w:cs="宋体"/>
          <w:color w:val="auto"/>
          <w:sz w:val="24"/>
          <w:highlight w:val="none"/>
        </w:rPr>
      </w:pPr>
      <w:r>
        <w:rPr>
          <w:rFonts w:hint="eastAsia" w:ascii="宋体" w:hAnsi="宋体" w:cs="宋体"/>
          <w:color w:val="auto"/>
          <w:sz w:val="24"/>
          <w:highlight w:val="none"/>
        </w:rPr>
        <w:t>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14:paraId="3AEDF327">
      <w:pPr>
        <w:spacing w:line="360" w:lineRule="auto"/>
        <w:ind w:left="840" w:hanging="840" w:hangingChars="350"/>
        <w:rPr>
          <w:rFonts w:ascii="宋体" w:hAnsi="宋体" w:cs="宋体"/>
          <w:color w:val="auto"/>
          <w:sz w:val="24"/>
          <w:highlight w:val="none"/>
        </w:rPr>
      </w:pPr>
      <w:r>
        <w:rPr>
          <w:rFonts w:hint="eastAsia" w:ascii="宋体" w:hAnsi="宋体" w:cs="宋体"/>
          <w:color w:val="auto"/>
          <w:sz w:val="24"/>
          <w:highlight w:val="none"/>
        </w:rPr>
        <w:t>5.5不论响应过程和响应文件结果如何，供应商的响应文件（含电子版）均不退还。</w:t>
      </w:r>
    </w:p>
    <w:p w14:paraId="0D087147">
      <w:pPr>
        <w:spacing w:line="360" w:lineRule="auto"/>
        <w:ind w:left="840" w:hanging="840" w:hangingChars="350"/>
        <w:rPr>
          <w:rFonts w:hint="eastAsia" w:ascii="宋体" w:hAnsi="宋体" w:cs="宋体"/>
          <w:color w:val="auto"/>
          <w:sz w:val="24"/>
          <w:highlight w:val="none"/>
        </w:rPr>
      </w:pPr>
      <w:r>
        <w:rPr>
          <w:rFonts w:hint="eastAsia" w:ascii="宋体" w:hAnsi="宋体" w:cs="宋体"/>
          <w:color w:val="auto"/>
          <w:sz w:val="24"/>
          <w:highlight w:val="none"/>
        </w:rPr>
        <w:t>5.6除响应文件中另有规定外，响应文件所使用的时间单位“天”、“日”均指日历天，</w:t>
      </w:r>
    </w:p>
    <w:p w14:paraId="171E9D15">
      <w:pPr>
        <w:spacing w:line="360" w:lineRule="auto"/>
        <w:ind w:left="840" w:hanging="840" w:hangingChars="350"/>
        <w:rPr>
          <w:rFonts w:ascii="宋体" w:hAnsi="宋体" w:cs="宋体"/>
          <w:color w:val="auto"/>
          <w:sz w:val="24"/>
          <w:highlight w:val="none"/>
        </w:rPr>
      </w:pPr>
      <w:r>
        <w:rPr>
          <w:rFonts w:hint="eastAsia" w:ascii="宋体" w:hAnsi="宋体" w:cs="宋体"/>
          <w:color w:val="auto"/>
          <w:sz w:val="24"/>
          <w:highlight w:val="none"/>
        </w:rPr>
        <w:t>且所有时刻均为北京时间。</w:t>
      </w:r>
    </w:p>
    <w:p w14:paraId="0DEF045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ascii="宋体" w:hAnsi="宋体" w:cs="宋体"/>
          <w:color w:val="auto"/>
          <w:sz w:val="24"/>
          <w:highlight w:val="none"/>
        </w:rPr>
      </w:pPr>
      <w:r>
        <w:rPr>
          <w:rFonts w:hint="eastAsia" w:ascii="宋体" w:hAnsi="宋体" w:cs="宋体"/>
          <w:color w:val="auto"/>
          <w:sz w:val="24"/>
          <w:highlight w:val="none"/>
        </w:rPr>
        <w:t>5.7参与</w:t>
      </w:r>
      <w:r>
        <w:rPr>
          <w:rFonts w:hint="eastAsia" w:ascii="宋体" w:hAnsi="宋体" w:cs="宋体"/>
          <w:color w:val="auto"/>
          <w:sz w:val="24"/>
          <w:highlight w:val="none"/>
          <w:lang w:val="en-US" w:eastAsia="zh-CN"/>
        </w:rPr>
        <w:t>各方</w:t>
      </w:r>
      <w:r>
        <w:rPr>
          <w:rFonts w:hint="eastAsia" w:ascii="宋体" w:hAnsi="宋体" w:cs="宋体"/>
          <w:color w:val="auto"/>
          <w:sz w:val="24"/>
          <w:highlight w:val="none"/>
        </w:rPr>
        <w:t>应对</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文件和</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文件中的商业和技术等秘密保密，违者应对由此造成的后果承担法律责任。</w:t>
      </w:r>
    </w:p>
    <w:p w14:paraId="32FAE0E1">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ascii="宋体" w:hAnsi="宋体" w:cs="宋体"/>
          <w:color w:val="auto"/>
          <w:sz w:val="24"/>
          <w:highlight w:val="none"/>
        </w:rPr>
      </w:pPr>
      <w:r>
        <w:rPr>
          <w:rFonts w:hint="eastAsia" w:ascii="宋体" w:hAnsi="宋体" w:cs="宋体"/>
          <w:color w:val="auto"/>
          <w:sz w:val="24"/>
          <w:highlight w:val="none"/>
        </w:rPr>
        <w:t>5.8供应商应自行承担其准备和参加响应文件活动发生的所有费用。不论响应文件结果如何，采购人及采购代理机构在任何情况下无义务也无责任承担这些费用。</w:t>
      </w:r>
    </w:p>
    <w:p w14:paraId="01BF5EF5">
      <w:pPr>
        <w:pStyle w:val="5"/>
        <w:spacing w:before="0" w:after="0" w:line="360" w:lineRule="auto"/>
        <w:rPr>
          <w:rFonts w:hAnsi="宋体" w:cs="宋体"/>
          <w:color w:val="auto"/>
          <w:highlight w:val="none"/>
          <w:u w:val="none"/>
        </w:rPr>
      </w:pPr>
      <w:bookmarkStart w:id="42" w:name="_Toc21195"/>
      <w:r>
        <w:rPr>
          <w:rFonts w:hint="eastAsia" w:hAnsi="宋体" w:cs="宋体"/>
          <w:color w:val="auto"/>
          <w:highlight w:val="none"/>
          <w:u w:val="none"/>
        </w:rPr>
        <w:t>6.竞争性磋商文件的澄清</w:t>
      </w:r>
      <w:bookmarkEnd w:id="38"/>
      <w:bookmarkEnd w:id="39"/>
      <w:r>
        <w:rPr>
          <w:rFonts w:hint="eastAsia" w:hAnsi="宋体" w:cs="宋体"/>
          <w:color w:val="auto"/>
          <w:highlight w:val="none"/>
          <w:u w:val="none"/>
        </w:rPr>
        <w:t>与修改</w:t>
      </w:r>
      <w:bookmarkEnd w:id="40"/>
      <w:bookmarkEnd w:id="41"/>
      <w:bookmarkEnd w:id="42"/>
    </w:p>
    <w:p w14:paraId="10F2D185">
      <w:pPr>
        <w:spacing w:line="360" w:lineRule="auto"/>
        <w:ind w:left="900" w:hanging="900" w:hangingChars="375"/>
        <w:rPr>
          <w:rFonts w:hint="eastAsia" w:ascii="宋体" w:hAnsi="宋体" w:cs="宋体"/>
          <w:color w:val="auto"/>
          <w:sz w:val="24"/>
          <w:highlight w:val="none"/>
        </w:rPr>
      </w:pPr>
      <w:bookmarkStart w:id="43" w:name="_Toc520356149"/>
      <w:bookmarkStart w:id="44" w:name="_Ref467378678"/>
      <w:bookmarkStart w:id="45" w:name="_Toc515904806"/>
      <w:bookmarkStart w:id="46" w:name="_Toc14569"/>
      <w:bookmarkStart w:id="47" w:name="_Toc25635"/>
      <w:r>
        <w:rPr>
          <w:rFonts w:hint="eastAsia" w:ascii="宋体" w:hAnsi="宋体" w:cs="宋体"/>
          <w:color w:val="auto"/>
          <w:sz w:val="24"/>
          <w:highlight w:val="none"/>
        </w:rPr>
        <w:t>6.1采购人可主动地或在解答供应商提出的澄清问题时对竞争性磋商文件澄清或修改。</w:t>
      </w:r>
    </w:p>
    <w:p w14:paraId="570AE5FB">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采购代理机构将以发布澄清（更正）公告的方式，澄清或修改竞争性磋商文件，澄清或</w:t>
      </w:r>
    </w:p>
    <w:p w14:paraId="17EA238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修改内容作为竞争性磋商文件的组成部分。</w:t>
      </w:r>
    </w:p>
    <w:p w14:paraId="51347441">
      <w:pPr>
        <w:pStyle w:val="4"/>
        <w:spacing w:line="360" w:lineRule="auto"/>
        <w:ind w:left="840" w:hanging="840" w:hangingChars="350"/>
        <w:rPr>
          <w:rFonts w:hint="eastAsia" w:hAnsi="宋体" w:cs="宋体"/>
          <w:color w:val="auto"/>
          <w:highlight w:val="none"/>
          <w:lang w:val="en-GB"/>
        </w:rPr>
      </w:pPr>
      <w:r>
        <w:rPr>
          <w:rFonts w:hint="eastAsia" w:hAnsi="宋体" w:cs="宋体"/>
          <w:color w:val="auto"/>
          <w:highlight w:val="none"/>
        </w:rPr>
        <w:t>6.2澄清或者修改的内容可能影响响应文件编制的，采购代理机构</w:t>
      </w:r>
      <w:r>
        <w:rPr>
          <w:rFonts w:hint="eastAsia" w:hAnsi="宋体" w:cs="宋体"/>
          <w:color w:val="auto"/>
          <w:highlight w:val="none"/>
          <w:lang w:val="en-GB"/>
        </w:rPr>
        <w:t>应当在报价截止时间</w:t>
      </w:r>
    </w:p>
    <w:p w14:paraId="7F1B60BE">
      <w:pPr>
        <w:pStyle w:val="4"/>
        <w:spacing w:line="360" w:lineRule="auto"/>
        <w:ind w:left="840" w:hanging="840" w:hangingChars="350"/>
        <w:rPr>
          <w:rFonts w:hint="eastAsia" w:hAnsi="宋体" w:cs="宋体"/>
          <w:color w:val="auto"/>
          <w:highlight w:val="none"/>
        </w:rPr>
      </w:pPr>
      <w:r>
        <w:rPr>
          <w:rFonts w:hint="eastAsia" w:hAnsi="宋体" w:cs="宋体"/>
          <w:color w:val="auto"/>
          <w:highlight w:val="none"/>
          <w:lang w:val="en-GB"/>
        </w:rPr>
        <w:t>至少</w:t>
      </w:r>
      <w:r>
        <w:rPr>
          <w:rFonts w:hint="eastAsia" w:hAnsi="宋体" w:cs="宋体"/>
          <w:color w:val="auto"/>
          <w:highlight w:val="none"/>
        </w:rPr>
        <w:t>5</w:t>
      </w:r>
      <w:r>
        <w:rPr>
          <w:rFonts w:hint="eastAsia" w:hAnsi="宋体" w:cs="宋体"/>
          <w:color w:val="auto"/>
          <w:highlight w:val="none"/>
          <w:lang w:val="en-GB"/>
        </w:rPr>
        <w:t>日前，</w:t>
      </w:r>
      <w:r>
        <w:rPr>
          <w:rFonts w:hint="eastAsia" w:hAnsi="宋体" w:cs="宋体"/>
          <w:color w:val="auto"/>
          <w:highlight w:val="none"/>
        </w:rPr>
        <w:t>将以书面或公告等形式通知所有获取竞争性磋商文件的潜在供应商，并对</w:t>
      </w:r>
    </w:p>
    <w:p w14:paraId="364DF944">
      <w:pPr>
        <w:pStyle w:val="4"/>
        <w:spacing w:line="360" w:lineRule="auto"/>
        <w:ind w:left="840" w:hanging="840" w:hangingChars="350"/>
        <w:rPr>
          <w:rFonts w:hint="eastAsia" w:hAnsi="宋体" w:cs="宋体"/>
          <w:color w:val="auto"/>
          <w:szCs w:val="24"/>
          <w:highlight w:val="none"/>
        </w:rPr>
      </w:pPr>
      <w:r>
        <w:rPr>
          <w:rFonts w:hint="eastAsia" w:hAnsi="宋体" w:cs="宋体"/>
          <w:color w:val="auto"/>
          <w:highlight w:val="none"/>
        </w:rPr>
        <w:t>其具有约束力。供应商在收到上述通知后，应及时向采购代理机构回函确认。</w:t>
      </w:r>
      <w:r>
        <w:rPr>
          <w:rFonts w:hint="eastAsia" w:hAnsi="宋体" w:cs="宋体"/>
          <w:color w:val="auto"/>
          <w:szCs w:val="24"/>
          <w:highlight w:val="none"/>
        </w:rPr>
        <w:t>供应商未</w:t>
      </w:r>
    </w:p>
    <w:p w14:paraId="2976A717">
      <w:pPr>
        <w:pStyle w:val="4"/>
        <w:spacing w:line="360" w:lineRule="auto"/>
        <w:ind w:left="840" w:hanging="840" w:hangingChars="350"/>
        <w:rPr>
          <w:rFonts w:hAnsi="宋体" w:cs="宋体"/>
          <w:color w:val="auto"/>
          <w:szCs w:val="24"/>
          <w:highlight w:val="none"/>
        </w:rPr>
      </w:pPr>
      <w:r>
        <w:rPr>
          <w:rFonts w:hint="eastAsia" w:hAnsi="宋体" w:cs="宋体"/>
          <w:color w:val="auto"/>
          <w:szCs w:val="24"/>
          <w:highlight w:val="none"/>
        </w:rPr>
        <w:t>回复的，视同已知晓澄清或者修改的内容。</w:t>
      </w:r>
    </w:p>
    <w:p w14:paraId="39672414">
      <w:pPr>
        <w:pStyle w:val="4"/>
        <w:spacing w:line="360" w:lineRule="auto"/>
        <w:ind w:left="840" w:hanging="840" w:hangingChars="350"/>
        <w:rPr>
          <w:rFonts w:hint="eastAsia" w:hAnsi="宋体" w:cs="宋体"/>
          <w:color w:val="auto"/>
          <w:szCs w:val="24"/>
          <w:highlight w:val="none"/>
        </w:rPr>
      </w:pPr>
      <w:r>
        <w:rPr>
          <w:rFonts w:hint="eastAsia" w:hAnsi="宋体" w:cs="宋体"/>
          <w:color w:val="auto"/>
          <w:szCs w:val="24"/>
          <w:highlight w:val="none"/>
        </w:rPr>
        <w:t>因潜在供应商原因或通讯线路故障导致逾期送达或无法送达，采购代理机构不因此承担</w:t>
      </w:r>
    </w:p>
    <w:p w14:paraId="18AB23EB">
      <w:pPr>
        <w:pStyle w:val="4"/>
        <w:spacing w:line="360" w:lineRule="auto"/>
        <w:ind w:left="840" w:hanging="840" w:hangingChars="350"/>
        <w:rPr>
          <w:rFonts w:hAnsi="宋体" w:cs="宋体"/>
          <w:color w:val="auto"/>
          <w:szCs w:val="24"/>
          <w:highlight w:val="none"/>
        </w:rPr>
      </w:pPr>
      <w:r>
        <w:rPr>
          <w:rFonts w:hint="eastAsia" w:hAnsi="宋体" w:cs="宋体"/>
          <w:color w:val="auto"/>
          <w:szCs w:val="24"/>
          <w:highlight w:val="none"/>
        </w:rPr>
        <w:t>任何责任，有关的磋商采购活动可以继续有效进行。</w:t>
      </w:r>
    </w:p>
    <w:p w14:paraId="42BB19DA">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ascii="宋体" w:hAnsi="宋体" w:cs="宋体"/>
          <w:color w:val="auto"/>
          <w:kern w:val="0"/>
          <w:sz w:val="24"/>
          <w:highlight w:val="none"/>
        </w:rPr>
      </w:pPr>
      <w:r>
        <w:rPr>
          <w:rFonts w:hint="eastAsia" w:ascii="宋体" w:hAnsi="宋体" w:cs="宋体"/>
          <w:color w:val="auto"/>
          <w:kern w:val="0"/>
          <w:sz w:val="24"/>
          <w:highlight w:val="none"/>
        </w:rPr>
        <w:t>6.3供应商认为</w:t>
      </w:r>
      <w:r>
        <w:rPr>
          <w:rFonts w:hint="eastAsia" w:ascii="宋体" w:hAnsi="宋体" w:cs="宋体"/>
          <w:color w:val="auto"/>
          <w:kern w:val="0"/>
          <w:sz w:val="24"/>
          <w:highlight w:val="none"/>
          <w:lang w:val="en-US" w:eastAsia="zh-CN"/>
        </w:rPr>
        <w:t>竞争性磋商文件</w:t>
      </w:r>
      <w:r>
        <w:rPr>
          <w:rFonts w:hint="eastAsia" w:ascii="宋体" w:hAnsi="宋体" w:cs="宋体"/>
          <w:color w:val="auto"/>
          <w:kern w:val="0"/>
          <w:sz w:val="24"/>
          <w:highlight w:val="none"/>
        </w:rPr>
        <w:t>存在歧视性条款或不合理要求等需要澄清的，应在规定时间内一次性全部提出。如在规定时间内，供应商对</w:t>
      </w:r>
      <w:r>
        <w:rPr>
          <w:rFonts w:hint="eastAsia" w:ascii="宋体" w:hAnsi="宋体" w:cs="宋体"/>
          <w:color w:val="auto"/>
          <w:kern w:val="0"/>
          <w:sz w:val="24"/>
          <w:highlight w:val="none"/>
          <w:lang w:val="en-US" w:eastAsia="zh-CN"/>
        </w:rPr>
        <w:t>竞争性磋商文件</w:t>
      </w:r>
      <w:r>
        <w:rPr>
          <w:rFonts w:hint="eastAsia" w:ascii="宋体" w:hAnsi="宋体" w:cs="宋体"/>
          <w:color w:val="auto"/>
          <w:kern w:val="0"/>
          <w:sz w:val="24"/>
          <w:highlight w:val="none"/>
        </w:rPr>
        <w:t>中的各项条款未提出异议，即认为同意和接受</w:t>
      </w:r>
      <w:r>
        <w:rPr>
          <w:rFonts w:hint="eastAsia" w:ascii="宋体" w:hAnsi="宋体" w:cs="宋体"/>
          <w:color w:val="auto"/>
          <w:kern w:val="0"/>
          <w:sz w:val="24"/>
          <w:highlight w:val="none"/>
          <w:lang w:val="en-US" w:eastAsia="zh-CN"/>
        </w:rPr>
        <w:t>磋商文件</w:t>
      </w:r>
      <w:r>
        <w:rPr>
          <w:rFonts w:hint="eastAsia" w:ascii="宋体" w:hAnsi="宋体" w:cs="宋体"/>
          <w:color w:val="auto"/>
          <w:kern w:val="0"/>
          <w:sz w:val="24"/>
          <w:highlight w:val="none"/>
        </w:rPr>
        <w:t>。</w:t>
      </w:r>
    </w:p>
    <w:p w14:paraId="132BE176">
      <w:pPr>
        <w:pStyle w:val="5"/>
        <w:tabs>
          <w:tab w:val="left" w:pos="900"/>
        </w:tabs>
        <w:spacing w:before="0" w:after="0" w:line="360" w:lineRule="auto"/>
        <w:rPr>
          <w:rFonts w:hAnsi="宋体" w:cs="宋体"/>
          <w:color w:val="auto"/>
          <w:highlight w:val="none"/>
          <w:u w:val="none"/>
        </w:rPr>
      </w:pPr>
      <w:bookmarkStart w:id="48" w:name="_Toc187"/>
      <w:r>
        <w:rPr>
          <w:rFonts w:hint="eastAsia" w:hAnsi="宋体" w:cs="宋体"/>
          <w:color w:val="auto"/>
          <w:highlight w:val="none"/>
          <w:u w:val="none"/>
        </w:rPr>
        <w:t>7</w:t>
      </w:r>
      <w:bookmarkEnd w:id="43"/>
      <w:bookmarkEnd w:id="44"/>
      <w:bookmarkEnd w:id="45"/>
      <w:r>
        <w:rPr>
          <w:rFonts w:hint="eastAsia" w:hAnsi="宋体" w:cs="宋体"/>
          <w:color w:val="auto"/>
          <w:highlight w:val="none"/>
          <w:u w:val="none"/>
        </w:rPr>
        <w:t>.提交响应文件截止时间的顺延</w:t>
      </w:r>
      <w:bookmarkEnd w:id="46"/>
      <w:bookmarkEnd w:id="47"/>
      <w:bookmarkEnd w:id="48"/>
    </w:p>
    <w:p w14:paraId="615762B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为使供应商准备响应时有足够的时间对竞争性磋商文件的澄清或者修改部分进行研究，</w:t>
      </w:r>
    </w:p>
    <w:p w14:paraId="6C839004">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采购人将依法决定是否顺延提交响应文件截止时间。</w:t>
      </w:r>
    </w:p>
    <w:p w14:paraId="7A225708">
      <w:pPr>
        <w:spacing w:line="360" w:lineRule="auto"/>
        <w:ind w:left="900" w:hanging="900" w:hangingChars="375"/>
        <w:rPr>
          <w:rFonts w:ascii="宋体" w:hAnsi="宋体" w:cs="宋体"/>
          <w:color w:val="auto"/>
          <w:sz w:val="24"/>
          <w:highlight w:val="none"/>
        </w:rPr>
      </w:pPr>
    </w:p>
    <w:p w14:paraId="4B596520">
      <w:pPr>
        <w:pStyle w:val="3"/>
        <w:tabs>
          <w:tab w:val="left" w:pos="900"/>
        </w:tabs>
        <w:spacing w:before="0" w:line="360" w:lineRule="auto"/>
        <w:ind w:left="565" w:leftChars="12" w:hanging="540"/>
        <w:rPr>
          <w:rFonts w:ascii="宋体" w:hAnsi="宋体" w:eastAsia="宋体" w:cs="宋体"/>
          <w:color w:val="auto"/>
          <w:sz w:val="28"/>
          <w:highlight w:val="none"/>
        </w:rPr>
      </w:pPr>
      <w:bookmarkStart w:id="49" w:name="_Toc516367020"/>
      <w:bookmarkStart w:id="50" w:name="_Toc520356150"/>
      <w:bookmarkStart w:id="51" w:name="_Toc7636"/>
      <w:bookmarkStart w:id="52" w:name="_Toc515647766"/>
      <w:bookmarkStart w:id="53" w:name="_Toc30808"/>
      <w:bookmarkStart w:id="54" w:name="_Toc216582807"/>
      <w:bookmarkStart w:id="55" w:name="_Toc16500"/>
      <w:r>
        <w:rPr>
          <w:rFonts w:hint="eastAsia" w:ascii="宋体" w:hAnsi="宋体" w:eastAsia="宋体" w:cs="宋体"/>
          <w:color w:val="auto"/>
          <w:sz w:val="28"/>
          <w:highlight w:val="none"/>
        </w:rPr>
        <w:t>三、响应文件</w:t>
      </w:r>
      <w:bookmarkEnd w:id="49"/>
      <w:r>
        <w:rPr>
          <w:rFonts w:hint="eastAsia" w:ascii="宋体" w:hAnsi="宋体" w:eastAsia="宋体" w:cs="宋体"/>
          <w:color w:val="auto"/>
          <w:sz w:val="28"/>
          <w:highlight w:val="none"/>
        </w:rPr>
        <w:t>的编制</w:t>
      </w:r>
      <w:bookmarkEnd w:id="50"/>
      <w:bookmarkEnd w:id="51"/>
      <w:bookmarkEnd w:id="52"/>
      <w:bookmarkEnd w:id="53"/>
      <w:bookmarkEnd w:id="54"/>
      <w:bookmarkEnd w:id="55"/>
    </w:p>
    <w:p w14:paraId="78868741">
      <w:pPr>
        <w:pStyle w:val="5"/>
        <w:spacing w:before="0" w:after="0" w:line="360" w:lineRule="auto"/>
        <w:rPr>
          <w:rFonts w:hAnsi="宋体" w:cs="宋体"/>
          <w:color w:val="auto"/>
          <w:highlight w:val="none"/>
          <w:u w:val="none"/>
        </w:rPr>
      </w:pPr>
      <w:bookmarkStart w:id="56" w:name="_Toc4893"/>
      <w:bookmarkStart w:id="57" w:name="_Toc51176589"/>
      <w:r>
        <w:rPr>
          <w:rFonts w:hint="eastAsia" w:hAnsi="宋体" w:cs="宋体"/>
          <w:color w:val="auto"/>
          <w:highlight w:val="none"/>
          <w:u w:val="none"/>
        </w:rPr>
        <w:t>8.编制要求</w:t>
      </w:r>
      <w:bookmarkEnd w:id="56"/>
      <w:bookmarkEnd w:id="57"/>
    </w:p>
    <w:p w14:paraId="2F506983">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8.1供应商应仔细阅读磋商文件的所有内容，按照磋商文件的要求及格式编制响应文件，</w:t>
      </w:r>
    </w:p>
    <w:p w14:paraId="3DC350AE">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并保证其真实性。若供应商没有按照磋商文件要求提交全部实质性要求资料或对实质性</w:t>
      </w:r>
    </w:p>
    <w:p w14:paraId="59027A77">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要求未作响应是供应商的风险，其</w:t>
      </w:r>
      <w:r>
        <w:rPr>
          <w:rFonts w:hint="eastAsia" w:ascii="宋体" w:hAnsi="宋体" w:cs="宋体"/>
          <w:b/>
          <w:color w:val="auto"/>
          <w:sz w:val="24"/>
          <w:highlight w:val="none"/>
        </w:rPr>
        <w:t>响应文件将会被拒绝</w:t>
      </w:r>
      <w:r>
        <w:rPr>
          <w:rFonts w:hint="eastAsia" w:ascii="宋体" w:hAnsi="宋体" w:cs="宋体"/>
          <w:color w:val="auto"/>
          <w:sz w:val="24"/>
          <w:highlight w:val="none"/>
        </w:rPr>
        <w:t>。</w:t>
      </w:r>
    </w:p>
    <w:p w14:paraId="3895ED92">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8.2供应商对多个分包进行响应文件的，可以分包为单位编制响应文件也可合并编制响</w:t>
      </w:r>
    </w:p>
    <w:p w14:paraId="15DB468F">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应文件，每一包响应文件均需满足本</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文件对响应文件的签署、盖章要求。</w:t>
      </w:r>
    </w:p>
    <w:p w14:paraId="72B3114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8.3封面设置</w:t>
      </w:r>
    </w:p>
    <w:p w14:paraId="42B5DADE">
      <w:pPr>
        <w:spacing w:line="360" w:lineRule="auto"/>
        <w:rPr>
          <w:rFonts w:ascii="宋体" w:hAnsi="宋体" w:cs="宋体"/>
          <w:color w:val="auto"/>
          <w:sz w:val="24"/>
          <w:highlight w:val="none"/>
        </w:rPr>
      </w:pPr>
      <w:r>
        <w:rPr>
          <w:rFonts w:hint="eastAsia" w:ascii="宋体" w:hAnsi="宋体" w:cs="宋体"/>
          <w:color w:val="auto"/>
          <w:sz w:val="24"/>
          <w:highlight w:val="none"/>
        </w:rPr>
        <w:t>响应文件材料封面设置包括：“响应文件”、项目名称、项目编号、所投包号、供应商名称。</w:t>
      </w:r>
    </w:p>
    <w:p w14:paraId="7289C0FC">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8.4供应商应按</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文件的要求及格式编写其响应文件。</w:t>
      </w:r>
    </w:p>
    <w:p w14:paraId="3029AD4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8.5供应商应编制响应文件目录、内容，并标注页码。</w:t>
      </w:r>
    </w:p>
    <w:p w14:paraId="5BD6A6EA">
      <w:pPr>
        <w:spacing w:line="360" w:lineRule="auto"/>
        <w:rPr>
          <w:rFonts w:ascii="宋体" w:hAnsi="宋体" w:cs="宋体"/>
          <w:color w:val="auto"/>
          <w:sz w:val="24"/>
          <w:highlight w:val="none"/>
        </w:rPr>
      </w:pPr>
      <w:r>
        <w:rPr>
          <w:rFonts w:hint="eastAsia" w:ascii="宋体" w:hAnsi="宋体" w:cs="宋体"/>
          <w:color w:val="auto"/>
          <w:sz w:val="24"/>
          <w:highlight w:val="none"/>
        </w:rPr>
        <w:t>8.6关于兼投不兼中要求详见：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032421E9">
      <w:pPr>
        <w:pStyle w:val="5"/>
        <w:tabs>
          <w:tab w:val="left" w:pos="900"/>
        </w:tabs>
        <w:spacing w:before="0" w:after="0" w:line="360" w:lineRule="auto"/>
        <w:rPr>
          <w:rFonts w:hAnsi="宋体" w:cs="宋体"/>
          <w:color w:val="auto"/>
          <w:highlight w:val="none"/>
          <w:u w:val="none"/>
        </w:rPr>
      </w:pPr>
      <w:bookmarkStart w:id="58" w:name="_Toc3553"/>
      <w:bookmarkStart w:id="59" w:name="_Toc23124"/>
      <w:bookmarkStart w:id="60" w:name="_Toc516367021"/>
      <w:bookmarkStart w:id="61" w:name="_Toc520356151"/>
      <w:bookmarkStart w:id="62" w:name="_Toc7786"/>
      <w:bookmarkStart w:id="63" w:name="_Toc515647767"/>
      <w:r>
        <w:rPr>
          <w:rFonts w:hint="eastAsia" w:hAnsi="宋体" w:cs="宋体"/>
          <w:color w:val="auto"/>
          <w:highlight w:val="none"/>
          <w:u w:val="none"/>
        </w:rPr>
        <w:t>9.响应范围及响应文件中标准和计量单位的使用</w:t>
      </w:r>
      <w:bookmarkEnd w:id="58"/>
      <w:bookmarkEnd w:id="59"/>
      <w:bookmarkEnd w:id="60"/>
      <w:bookmarkEnd w:id="61"/>
      <w:bookmarkEnd w:id="62"/>
      <w:bookmarkEnd w:id="63"/>
    </w:p>
    <w:p w14:paraId="26BF6641">
      <w:pPr>
        <w:spacing w:line="360" w:lineRule="auto"/>
        <w:ind w:left="900" w:hanging="900" w:hangingChars="375"/>
        <w:rPr>
          <w:rFonts w:hint="eastAsia" w:ascii="宋体" w:hAnsi="宋体" w:cs="宋体"/>
          <w:color w:val="auto"/>
          <w:sz w:val="24"/>
          <w:highlight w:val="none"/>
          <w:u w:val="single"/>
        </w:rPr>
      </w:pPr>
      <w:bookmarkStart w:id="64" w:name="_Ref467306676"/>
      <w:bookmarkStart w:id="65" w:name="_Ref467306195"/>
      <w:bookmarkStart w:id="66" w:name="_Toc516367022"/>
      <w:bookmarkStart w:id="67" w:name="_Toc515647768"/>
      <w:bookmarkStart w:id="68" w:name="_Toc520356152"/>
      <w:bookmarkStart w:id="69" w:name="_Toc10364"/>
      <w:bookmarkStart w:id="70" w:name="_Toc28307"/>
      <w:r>
        <w:rPr>
          <w:rFonts w:hint="eastAsia" w:ascii="宋体" w:hAnsi="宋体" w:cs="宋体"/>
          <w:color w:val="auto"/>
          <w:sz w:val="24"/>
          <w:highlight w:val="none"/>
        </w:rPr>
        <w:t>9.1供应商可对竞争性磋商文件其中一个或几个分包进行响应。除非在</w:t>
      </w:r>
      <w:r>
        <w:rPr>
          <w:rFonts w:hint="eastAsia" w:ascii="宋体" w:hAnsi="宋体" w:cs="宋体"/>
          <w:color w:val="auto"/>
          <w:sz w:val="24"/>
          <w:highlight w:val="none"/>
          <w:u w:val="single"/>
        </w:rPr>
        <w:t>供应商须知资料</w:t>
      </w:r>
    </w:p>
    <w:p w14:paraId="7A128D5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u w:val="single"/>
        </w:rPr>
        <w:t>表</w:t>
      </w:r>
      <w:r>
        <w:rPr>
          <w:rFonts w:hint="eastAsia" w:ascii="宋体" w:hAnsi="宋体" w:cs="宋体"/>
          <w:color w:val="auto"/>
          <w:sz w:val="24"/>
          <w:highlight w:val="none"/>
        </w:rPr>
        <w:t>中另有规定。</w:t>
      </w:r>
    </w:p>
    <w:p w14:paraId="3108AB2F">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9.2供应商应当对竞争性磋商文件中“服务需求”所列的所有内容进行响应，如仅响应</w:t>
      </w:r>
    </w:p>
    <w:p w14:paraId="2893F352">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某一包中的部分内容，其响应文件将被认定为无效。</w:t>
      </w:r>
    </w:p>
    <w:p w14:paraId="3261D8D5">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9.3无论竞争性磋商文件第4章服务需求一览表及技术规格中是否要求，供应商所提供</w:t>
      </w:r>
    </w:p>
    <w:p w14:paraId="74330FEF">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服务(含货物)均应符合国家强制性标准。</w:t>
      </w:r>
    </w:p>
    <w:p w14:paraId="3B08F64E">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9.4除竞争性磋商文件中有特殊要求外，响应文件中所使用的计量单位，应采用中华人</w:t>
      </w:r>
    </w:p>
    <w:p w14:paraId="20162A88">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民共和国法定计量单位。</w:t>
      </w:r>
    </w:p>
    <w:p w14:paraId="30C8BCF6">
      <w:pPr>
        <w:pStyle w:val="5"/>
        <w:tabs>
          <w:tab w:val="left" w:pos="900"/>
        </w:tabs>
        <w:spacing w:before="0" w:after="0" w:line="360" w:lineRule="auto"/>
        <w:rPr>
          <w:rFonts w:hAnsi="宋体" w:cs="宋体"/>
          <w:color w:val="auto"/>
          <w:highlight w:val="none"/>
          <w:u w:val="none"/>
        </w:rPr>
      </w:pPr>
      <w:bookmarkStart w:id="71" w:name="_Toc10511"/>
      <w:r>
        <w:rPr>
          <w:rFonts w:hint="eastAsia" w:hAnsi="宋体" w:cs="宋体"/>
          <w:color w:val="auto"/>
          <w:highlight w:val="none"/>
          <w:u w:val="none"/>
        </w:rPr>
        <w:t>10.响应文件</w:t>
      </w:r>
      <w:bookmarkEnd w:id="64"/>
      <w:bookmarkEnd w:id="65"/>
      <w:bookmarkEnd w:id="66"/>
      <w:r>
        <w:rPr>
          <w:rFonts w:hint="eastAsia" w:hAnsi="宋体" w:cs="宋体"/>
          <w:color w:val="auto"/>
          <w:highlight w:val="none"/>
          <w:u w:val="none"/>
        </w:rPr>
        <w:t>构成</w:t>
      </w:r>
      <w:bookmarkEnd w:id="67"/>
      <w:bookmarkEnd w:id="68"/>
      <w:bookmarkEnd w:id="69"/>
      <w:bookmarkEnd w:id="70"/>
      <w:bookmarkEnd w:id="71"/>
    </w:p>
    <w:p w14:paraId="2C0D33A7">
      <w:pPr>
        <w:tabs>
          <w:tab w:val="left" w:pos="900"/>
          <w:tab w:val="left" w:pos="5580"/>
        </w:tabs>
        <w:spacing w:line="360" w:lineRule="auto"/>
        <w:ind w:left="960" w:hanging="960" w:hangingChars="400"/>
        <w:jc w:val="left"/>
        <w:rPr>
          <w:rFonts w:hint="eastAsia" w:ascii="宋体" w:hAnsi="宋体" w:cs="宋体"/>
          <w:color w:val="auto"/>
          <w:sz w:val="24"/>
          <w:highlight w:val="none"/>
        </w:rPr>
      </w:pPr>
      <w:bookmarkStart w:id="72" w:name="_Ref467052588"/>
      <w:r>
        <w:rPr>
          <w:rFonts w:hint="eastAsia" w:ascii="宋体" w:hAnsi="宋体" w:cs="宋体"/>
          <w:color w:val="auto"/>
          <w:sz w:val="24"/>
          <w:highlight w:val="none"/>
        </w:rPr>
        <w:t>10.1供应商应完整地按竞争性磋商文件提供的响应文件格式及要求编写响应文件。竞争</w:t>
      </w:r>
    </w:p>
    <w:p w14:paraId="7C0A2A54">
      <w:pPr>
        <w:tabs>
          <w:tab w:val="left" w:pos="900"/>
          <w:tab w:val="left" w:pos="5580"/>
        </w:tabs>
        <w:spacing w:line="360" w:lineRule="auto"/>
        <w:ind w:left="960" w:hanging="960" w:hangingChars="400"/>
        <w:jc w:val="left"/>
        <w:rPr>
          <w:rFonts w:hint="eastAsia" w:ascii="宋体" w:hAnsi="宋体" w:cs="宋体"/>
          <w:color w:val="auto"/>
          <w:sz w:val="24"/>
          <w:highlight w:val="none"/>
        </w:rPr>
      </w:pPr>
      <w:r>
        <w:rPr>
          <w:rFonts w:hint="eastAsia" w:ascii="宋体" w:hAnsi="宋体" w:cs="宋体"/>
          <w:color w:val="auto"/>
          <w:sz w:val="24"/>
          <w:highlight w:val="none"/>
        </w:rPr>
        <w:t>性磋商文件中资格审查和符合性审查涉及的事项不满足竞争性磋商文件要求的，其响应</w:t>
      </w:r>
    </w:p>
    <w:p w14:paraId="0D3EFB44">
      <w:pPr>
        <w:tabs>
          <w:tab w:val="left" w:pos="900"/>
          <w:tab w:val="left" w:pos="5580"/>
        </w:tabs>
        <w:spacing w:line="360" w:lineRule="auto"/>
        <w:ind w:left="960" w:hanging="960" w:hangingChars="400"/>
        <w:jc w:val="left"/>
        <w:rPr>
          <w:rFonts w:ascii="宋体" w:hAnsi="宋体" w:cs="宋体"/>
          <w:color w:val="auto"/>
          <w:sz w:val="24"/>
          <w:highlight w:val="none"/>
        </w:rPr>
      </w:pPr>
      <w:r>
        <w:rPr>
          <w:rFonts w:hint="eastAsia" w:ascii="宋体" w:hAnsi="宋体" w:cs="宋体"/>
          <w:color w:val="auto"/>
          <w:sz w:val="24"/>
          <w:highlight w:val="none"/>
        </w:rPr>
        <w:t>文件将被认定为无效。</w:t>
      </w:r>
    </w:p>
    <w:p w14:paraId="608E0B66">
      <w:pPr>
        <w:spacing w:line="360" w:lineRule="auto"/>
        <w:ind w:left="1020" w:hanging="1020" w:hangingChars="425"/>
        <w:rPr>
          <w:rFonts w:hint="eastAsia" w:ascii="宋体" w:hAnsi="宋体" w:cs="宋体"/>
          <w:color w:val="auto"/>
          <w:sz w:val="24"/>
          <w:highlight w:val="none"/>
        </w:rPr>
      </w:pPr>
      <w:r>
        <w:rPr>
          <w:rFonts w:hint="eastAsia" w:ascii="宋体" w:hAnsi="宋体" w:cs="宋体"/>
          <w:color w:val="auto"/>
          <w:sz w:val="24"/>
          <w:highlight w:val="none"/>
        </w:rPr>
        <w:t>10.2上述文件应按照竞争性磋商文件规定签署和盖公章或经公章授权的其他单位章（以</w:t>
      </w:r>
    </w:p>
    <w:p w14:paraId="300C9B7D">
      <w:pPr>
        <w:spacing w:line="360" w:lineRule="auto"/>
        <w:ind w:left="1020" w:hanging="1020" w:hangingChars="425"/>
        <w:rPr>
          <w:rFonts w:hint="eastAsia" w:ascii="宋体" w:hAnsi="宋体" w:cs="宋体"/>
          <w:color w:val="auto"/>
          <w:sz w:val="24"/>
          <w:highlight w:val="none"/>
        </w:rPr>
      </w:pPr>
      <w:r>
        <w:rPr>
          <w:rFonts w:hint="eastAsia" w:ascii="宋体" w:hAnsi="宋体" w:cs="宋体"/>
          <w:color w:val="auto"/>
          <w:sz w:val="24"/>
          <w:highlight w:val="none"/>
        </w:rPr>
        <w:t>下统称公章）。采用公章授权方式的，应当在响应文件第一部分附公章授权书（格式自</w:t>
      </w:r>
    </w:p>
    <w:p w14:paraId="557FA1B4">
      <w:pPr>
        <w:spacing w:line="360" w:lineRule="auto"/>
        <w:ind w:left="1020" w:hanging="1020" w:hangingChars="425"/>
        <w:rPr>
          <w:rFonts w:ascii="宋体" w:hAnsi="宋体" w:cs="宋体"/>
          <w:color w:val="auto"/>
          <w:sz w:val="24"/>
          <w:highlight w:val="none"/>
        </w:rPr>
      </w:pPr>
      <w:r>
        <w:rPr>
          <w:rFonts w:hint="eastAsia" w:ascii="宋体" w:hAnsi="宋体" w:cs="宋体"/>
          <w:color w:val="auto"/>
          <w:sz w:val="24"/>
          <w:highlight w:val="none"/>
        </w:rPr>
        <w:t>定）。</w:t>
      </w:r>
    </w:p>
    <w:p w14:paraId="58A0DFFF">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10.3供应商应提交证明文件，证明其提供内容符合</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文件规定。该证明文件是响应文</w:t>
      </w:r>
    </w:p>
    <w:p w14:paraId="487DC513">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件的一部分。</w:t>
      </w:r>
    </w:p>
    <w:p w14:paraId="1CBF8156">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10.4上款所述的证明文件，可以是文字资料、图纸和数据等。</w:t>
      </w:r>
    </w:p>
    <w:p w14:paraId="796FC5D3">
      <w:pPr>
        <w:spacing w:line="360" w:lineRule="auto"/>
        <w:rPr>
          <w:rFonts w:ascii="宋体" w:hAnsi="宋体" w:cs="宋体"/>
          <w:color w:val="auto"/>
          <w:sz w:val="24"/>
          <w:highlight w:val="none"/>
        </w:rPr>
      </w:pPr>
      <w:r>
        <w:rPr>
          <w:rFonts w:hint="eastAsia" w:ascii="宋体" w:hAnsi="宋体" w:cs="宋体"/>
          <w:color w:val="auto"/>
          <w:sz w:val="24"/>
          <w:highlight w:val="none"/>
        </w:rPr>
        <w:t>10.5(电子标)本项目采用电子响应文件，须使用用于证明供应商身份的单位电子签名的实名认证证书和用于供应商编制电子响应文件的响应文件制作软件。申请办理实名认证证书的方式详见</w:t>
      </w:r>
      <w:r>
        <w:rPr>
          <w:rFonts w:hint="eastAsia" w:ascii="宋体" w:hAnsi="宋体" w:cs="宋体"/>
          <w:b/>
          <w:bCs/>
          <w:color w:val="auto"/>
          <w:sz w:val="24"/>
          <w:highlight w:val="none"/>
        </w:rPr>
        <w:t>临沂市公共资源交易中心网（http://ggzyjy.linyi.gov.cn/linyi/）</w:t>
      </w:r>
      <w:r>
        <w:rPr>
          <w:rFonts w:hint="eastAsia" w:ascii="宋体" w:hAnsi="宋体" w:cs="宋体"/>
          <w:color w:val="auto"/>
          <w:sz w:val="24"/>
          <w:highlight w:val="none"/>
        </w:rPr>
        <w:t>“</w:t>
      </w:r>
      <w:r>
        <w:rPr>
          <w:rFonts w:hint="eastAsia" w:ascii="宋体" w:hAnsi="宋体" w:cs="宋体"/>
          <w:color w:val="auto"/>
          <w:sz w:val="24"/>
          <w:highlight w:val="none"/>
          <w:u w:val="single"/>
        </w:rPr>
        <w:t>公告通知</w:t>
      </w:r>
      <w:r>
        <w:rPr>
          <w:rFonts w:hint="eastAsia" w:ascii="宋体" w:hAnsi="宋体" w:cs="宋体"/>
          <w:color w:val="auto"/>
          <w:sz w:val="24"/>
          <w:highlight w:val="none"/>
        </w:rPr>
        <w:t>”栏目。</w:t>
      </w:r>
    </w:p>
    <w:p w14:paraId="7E2F3381">
      <w:pPr>
        <w:spacing w:line="360" w:lineRule="auto"/>
        <w:jc w:val="left"/>
        <w:rPr>
          <w:rFonts w:ascii="宋体" w:hAnsi="宋体" w:cs="宋体"/>
          <w:color w:val="auto"/>
          <w:sz w:val="24"/>
          <w:highlight w:val="none"/>
        </w:rPr>
      </w:pPr>
      <w:r>
        <w:rPr>
          <w:rFonts w:hint="eastAsia" w:ascii="宋体" w:hAnsi="宋体" w:cs="宋体"/>
          <w:color w:val="auto"/>
          <w:sz w:val="24"/>
          <w:highlight w:val="none"/>
        </w:rPr>
        <w:t>电子响应文件基本流程：登录</w:t>
      </w:r>
      <w:r>
        <w:rPr>
          <w:rFonts w:hint="eastAsia" w:ascii="宋体" w:hAnsi="宋体" w:cs="宋体"/>
          <w:b/>
          <w:bCs/>
          <w:color w:val="auto"/>
          <w:sz w:val="24"/>
          <w:highlight w:val="none"/>
        </w:rPr>
        <w:t>临沂市公共资源交易中心网（http://ggzyjy.linyi.gov.cn/linyi/）“电子交易系统”</w:t>
      </w:r>
      <w:r>
        <w:rPr>
          <w:rFonts w:hint="eastAsia" w:ascii="宋体" w:hAnsi="宋体" w:cs="宋体"/>
          <w:color w:val="auto"/>
          <w:sz w:val="24"/>
          <w:highlight w:val="none"/>
        </w:rPr>
        <w:t>，下载电子响应文件操作手册及响应文件制作软件，按照操作手册安装响应文件制作软件，使用实名认证证书打开响应文件制作软件，按提示和操作手册导入电子竞争性磋商文件，编制电子响应文件，使用实名认证证书对电子响应文件进行签章、加密，生成的电子响应文件（扩展名为.LYTF文件，不得对已生成的响应文件进行任何修改、压缩、解压等操作），于提交响应文件截止时间前自行上传至</w:t>
      </w:r>
      <w:r>
        <w:rPr>
          <w:rFonts w:hint="eastAsia" w:ascii="宋体" w:hAnsi="宋体" w:cs="宋体"/>
          <w:color w:val="auto"/>
          <w:sz w:val="24"/>
          <w:highlight w:val="none"/>
          <w:u w:val="single"/>
        </w:rPr>
        <w:t>临沂市公共资源</w:t>
      </w:r>
      <w:r>
        <w:rPr>
          <w:rFonts w:hint="eastAsia" w:ascii="宋体" w:hAnsi="宋体" w:cs="宋体"/>
          <w:color w:val="auto"/>
          <w:sz w:val="24"/>
          <w:highlight w:val="none"/>
        </w:rPr>
        <w:t>电子交易系统。</w:t>
      </w:r>
    </w:p>
    <w:p w14:paraId="7979AC51">
      <w:pPr>
        <w:tabs>
          <w:tab w:val="left" w:pos="8931"/>
        </w:tabs>
        <w:spacing w:line="360" w:lineRule="auto"/>
        <w:rPr>
          <w:rFonts w:hint="eastAsia" w:ascii="宋体" w:hAnsi="宋体" w:cs="宋体"/>
          <w:b/>
          <w:bCs/>
          <w:color w:val="auto"/>
          <w:kern w:val="1"/>
          <w:sz w:val="24"/>
          <w:szCs w:val="22"/>
          <w:highlight w:val="none"/>
        </w:rPr>
      </w:pPr>
      <w:r>
        <w:rPr>
          <w:rFonts w:hint="eastAsia" w:ascii="宋体" w:hAnsi="宋体" w:cs="宋体"/>
          <w:b/>
          <w:bCs/>
          <w:color w:val="auto"/>
          <w:kern w:val="1"/>
          <w:sz w:val="24"/>
          <w:szCs w:val="22"/>
          <w:highlight w:val="none"/>
        </w:rPr>
        <w:t>10.5.1本项目不需提供纸质</w:t>
      </w:r>
      <w:r>
        <w:rPr>
          <w:rFonts w:hint="eastAsia" w:ascii="宋体" w:hAnsi="宋体" w:cs="宋体"/>
          <w:b/>
          <w:bCs/>
          <w:color w:val="auto"/>
          <w:kern w:val="1"/>
          <w:sz w:val="24"/>
          <w:szCs w:val="22"/>
          <w:highlight w:val="none"/>
          <w:lang w:eastAsia="zh-CN"/>
        </w:rPr>
        <w:t>响应文件</w:t>
      </w:r>
      <w:r>
        <w:rPr>
          <w:rFonts w:hint="eastAsia" w:ascii="宋体" w:hAnsi="宋体" w:cs="宋体"/>
          <w:b/>
          <w:bCs/>
          <w:color w:val="auto"/>
          <w:kern w:val="1"/>
          <w:sz w:val="24"/>
          <w:szCs w:val="22"/>
          <w:highlight w:val="none"/>
        </w:rPr>
        <w:t>，供应商应在临沂市公共资源交易系统内制作电子版</w:t>
      </w:r>
      <w:r>
        <w:rPr>
          <w:rFonts w:hint="eastAsia" w:ascii="宋体" w:hAnsi="宋体" w:cs="宋体"/>
          <w:b/>
          <w:bCs/>
          <w:color w:val="auto"/>
          <w:kern w:val="1"/>
          <w:sz w:val="24"/>
          <w:szCs w:val="22"/>
          <w:highlight w:val="none"/>
          <w:lang w:eastAsia="zh-CN"/>
        </w:rPr>
        <w:t>响应文件</w:t>
      </w:r>
      <w:r>
        <w:rPr>
          <w:rFonts w:hint="eastAsia" w:ascii="宋体" w:hAnsi="宋体" w:cs="宋体"/>
          <w:b/>
          <w:bCs/>
          <w:color w:val="auto"/>
          <w:kern w:val="1"/>
          <w:sz w:val="24"/>
          <w:szCs w:val="22"/>
          <w:highlight w:val="none"/>
        </w:rPr>
        <w:t>，详细内容请见电子化招标投标通知。供应商手册请到临沂市公共资源交易网下载。</w:t>
      </w:r>
    </w:p>
    <w:p w14:paraId="100CD2C6">
      <w:pPr>
        <w:tabs>
          <w:tab w:val="left" w:pos="8931"/>
        </w:tabs>
        <w:spacing w:line="360" w:lineRule="auto"/>
        <w:ind w:firstLine="461"/>
        <w:rPr>
          <w:rFonts w:hint="eastAsia" w:ascii="宋体" w:hAnsi="宋体" w:cs="宋体"/>
          <w:b/>
          <w:bCs/>
          <w:color w:val="auto"/>
          <w:kern w:val="1"/>
          <w:sz w:val="24"/>
          <w:szCs w:val="22"/>
          <w:highlight w:val="none"/>
        </w:rPr>
      </w:pPr>
      <w:r>
        <w:rPr>
          <w:rFonts w:hint="eastAsia" w:ascii="宋体" w:hAnsi="宋体" w:cs="宋体"/>
          <w:b/>
          <w:bCs/>
          <w:color w:val="auto"/>
          <w:kern w:val="1"/>
          <w:sz w:val="24"/>
          <w:szCs w:val="22"/>
          <w:highlight w:val="none"/>
        </w:rPr>
        <w:t>具体要求请各潜在供应商自行登录“临沂市公共资源交易中心”网站查看相关通知。本项目实行计算机辅助评标，电子</w:t>
      </w:r>
      <w:r>
        <w:rPr>
          <w:rFonts w:hint="eastAsia" w:ascii="宋体" w:hAnsi="宋体" w:cs="宋体"/>
          <w:b/>
          <w:bCs/>
          <w:color w:val="auto"/>
          <w:kern w:val="1"/>
          <w:sz w:val="24"/>
          <w:szCs w:val="22"/>
          <w:highlight w:val="none"/>
          <w:lang w:eastAsia="zh-CN"/>
        </w:rPr>
        <w:t>响应文件</w:t>
      </w:r>
      <w:r>
        <w:rPr>
          <w:rFonts w:hint="eastAsia" w:ascii="宋体" w:hAnsi="宋体" w:cs="宋体"/>
          <w:b/>
          <w:bCs/>
          <w:color w:val="auto"/>
          <w:kern w:val="1"/>
          <w:sz w:val="24"/>
          <w:szCs w:val="22"/>
          <w:highlight w:val="none"/>
        </w:rPr>
        <w:t>制作工具下载：</w:t>
      </w:r>
      <w:r>
        <w:rPr>
          <w:rFonts w:hint="eastAsia" w:ascii="宋体" w:hAnsi="宋体" w:cs="宋体"/>
          <w:b/>
          <w:bCs/>
          <w:color w:val="auto"/>
          <w:kern w:val="1"/>
          <w:sz w:val="24"/>
          <w:szCs w:val="22"/>
          <w:highlight w:val="none"/>
          <w:lang w:eastAsia="zh-CN"/>
        </w:rPr>
        <w:t>响应文件</w:t>
      </w:r>
      <w:r>
        <w:rPr>
          <w:rFonts w:hint="eastAsia" w:ascii="宋体" w:hAnsi="宋体" w:cs="宋体"/>
          <w:b/>
          <w:bCs/>
          <w:color w:val="auto"/>
          <w:kern w:val="1"/>
          <w:sz w:val="24"/>
          <w:szCs w:val="22"/>
          <w:highlight w:val="none"/>
        </w:rPr>
        <w:t>制作工具(临沂版)，使用CA锁进行电子</w:t>
      </w:r>
      <w:r>
        <w:rPr>
          <w:rFonts w:hint="eastAsia" w:ascii="宋体" w:hAnsi="宋体" w:cs="宋体"/>
          <w:b/>
          <w:bCs/>
          <w:color w:val="auto"/>
          <w:kern w:val="1"/>
          <w:sz w:val="24"/>
          <w:szCs w:val="22"/>
          <w:highlight w:val="none"/>
          <w:lang w:eastAsia="zh-CN"/>
        </w:rPr>
        <w:t>响应文件</w:t>
      </w:r>
      <w:r>
        <w:rPr>
          <w:rFonts w:hint="eastAsia" w:ascii="宋体" w:hAnsi="宋体" w:cs="宋体"/>
          <w:b/>
          <w:bCs/>
          <w:color w:val="auto"/>
          <w:kern w:val="1"/>
          <w:sz w:val="24"/>
          <w:szCs w:val="22"/>
          <w:highlight w:val="none"/>
        </w:rPr>
        <w:t>制作加解密。</w:t>
      </w:r>
    </w:p>
    <w:p w14:paraId="6C64018A">
      <w:pPr>
        <w:tabs>
          <w:tab w:val="left" w:pos="8931"/>
        </w:tabs>
        <w:spacing w:line="360" w:lineRule="auto"/>
        <w:ind w:firstLine="461"/>
        <w:rPr>
          <w:rFonts w:hint="eastAsia" w:ascii="宋体" w:hAnsi="宋体" w:cs="宋体"/>
          <w:b/>
          <w:bCs/>
          <w:color w:val="auto"/>
          <w:kern w:val="1"/>
          <w:sz w:val="24"/>
          <w:highlight w:val="none"/>
        </w:rPr>
      </w:pPr>
      <w:r>
        <w:rPr>
          <w:rFonts w:hint="eastAsia" w:ascii="宋体" w:hAnsi="宋体" w:cs="宋体"/>
          <w:b/>
          <w:bCs/>
          <w:color w:val="auto"/>
          <w:kern w:val="1"/>
          <w:sz w:val="24"/>
          <w:highlight w:val="none"/>
        </w:rPr>
        <w:t>供应商需要登陆临沂市公共资源交易网--企业用户登录--政府采购项目，使用CA锁从网上下载采购文件，使用电子</w:t>
      </w:r>
      <w:r>
        <w:rPr>
          <w:rFonts w:hint="eastAsia" w:ascii="宋体" w:hAnsi="宋体" w:cs="宋体"/>
          <w:b/>
          <w:bCs/>
          <w:color w:val="auto"/>
          <w:kern w:val="1"/>
          <w:sz w:val="24"/>
          <w:highlight w:val="none"/>
          <w:lang w:eastAsia="zh-CN"/>
        </w:rPr>
        <w:t>响应文件</w:t>
      </w:r>
      <w:r>
        <w:rPr>
          <w:rFonts w:hint="eastAsia" w:ascii="宋体" w:hAnsi="宋体" w:cs="宋体"/>
          <w:b/>
          <w:bCs/>
          <w:color w:val="auto"/>
          <w:kern w:val="1"/>
          <w:sz w:val="24"/>
          <w:highlight w:val="none"/>
        </w:rPr>
        <w:t>制作专用软件制作电子</w:t>
      </w:r>
      <w:r>
        <w:rPr>
          <w:rFonts w:hint="eastAsia" w:ascii="宋体" w:hAnsi="宋体" w:cs="宋体"/>
          <w:b/>
          <w:bCs/>
          <w:color w:val="auto"/>
          <w:kern w:val="1"/>
          <w:sz w:val="24"/>
          <w:highlight w:val="none"/>
          <w:lang w:eastAsia="zh-CN"/>
        </w:rPr>
        <w:t>响应文件</w:t>
      </w:r>
      <w:r>
        <w:rPr>
          <w:rFonts w:hint="eastAsia" w:ascii="宋体" w:hAnsi="宋体" w:cs="宋体"/>
          <w:b/>
          <w:bCs/>
          <w:color w:val="auto"/>
          <w:kern w:val="1"/>
          <w:sz w:val="24"/>
          <w:highlight w:val="none"/>
        </w:rPr>
        <w:t>，并使用CA锁进行电子</w:t>
      </w:r>
      <w:r>
        <w:rPr>
          <w:rFonts w:hint="eastAsia" w:ascii="宋体" w:hAnsi="宋体" w:cs="宋体"/>
          <w:b/>
          <w:bCs/>
          <w:color w:val="auto"/>
          <w:kern w:val="1"/>
          <w:sz w:val="24"/>
          <w:highlight w:val="none"/>
          <w:lang w:eastAsia="zh-CN"/>
        </w:rPr>
        <w:t>响应文件</w:t>
      </w:r>
      <w:r>
        <w:rPr>
          <w:rFonts w:hint="eastAsia" w:ascii="宋体" w:hAnsi="宋体" w:cs="宋体"/>
          <w:b/>
          <w:bCs/>
          <w:color w:val="auto"/>
          <w:kern w:val="1"/>
          <w:sz w:val="24"/>
          <w:highlight w:val="none"/>
        </w:rPr>
        <w:t>制作加解密、电子签章等，并于投标截止时间之前将加密版（LYTF格式）电子文件上传至电子招投标交易平台。在电子开评标系统使用过程中，供应商提供的CA锁出现解密失败或无法解密的情况，其后果自负。</w:t>
      </w:r>
    </w:p>
    <w:p w14:paraId="3DC2F0E2">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供应商手册请到临沂市公共资源交易网自行下载。</w:t>
      </w:r>
    </w:p>
    <w:p w14:paraId="5A93176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系统使用技术问题请拨打电话：0539-8770063</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0539-8770139</w:t>
      </w:r>
    </w:p>
    <w:p w14:paraId="5A76613D">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若供应商实名认证证书即将到期或已过期，请确保在开标时实名认证证书在有效期内，供应商实名认证证书在续期后务必在开标前重新制作和上传电子</w:t>
      </w:r>
      <w:r>
        <w:rPr>
          <w:rFonts w:hint="eastAsia" w:ascii="宋体" w:hAnsi="宋体"/>
          <w:b/>
          <w:color w:val="auto"/>
          <w:sz w:val="24"/>
          <w:highlight w:val="none"/>
          <w:lang w:eastAsia="zh-CN"/>
        </w:rPr>
        <w:t>响应文件</w:t>
      </w:r>
      <w:r>
        <w:rPr>
          <w:rFonts w:hint="eastAsia" w:ascii="宋体" w:hAnsi="宋体"/>
          <w:b/>
          <w:color w:val="auto"/>
          <w:sz w:val="24"/>
          <w:highlight w:val="none"/>
        </w:rPr>
        <w:t>，否则将造成电子</w:t>
      </w:r>
      <w:r>
        <w:rPr>
          <w:rFonts w:hint="eastAsia" w:ascii="宋体" w:hAnsi="宋体"/>
          <w:b/>
          <w:color w:val="auto"/>
          <w:sz w:val="24"/>
          <w:highlight w:val="none"/>
          <w:lang w:eastAsia="zh-CN"/>
        </w:rPr>
        <w:t>响应文件</w:t>
      </w:r>
      <w:r>
        <w:rPr>
          <w:rFonts w:hint="eastAsia" w:ascii="宋体" w:hAnsi="宋体"/>
          <w:b/>
          <w:color w:val="auto"/>
          <w:sz w:val="24"/>
          <w:highlight w:val="none"/>
        </w:rPr>
        <w:t>无法进行解密。</w:t>
      </w:r>
    </w:p>
    <w:p w14:paraId="2174F8A4">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因供应商以下原因，投标将被拒绝：</w:t>
      </w:r>
    </w:p>
    <w:p w14:paraId="20FD9A94">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1)投标截止时间前，供应商未成功上传</w:t>
      </w:r>
      <w:r>
        <w:rPr>
          <w:rFonts w:hint="eastAsia" w:ascii="宋体" w:hAnsi="宋体"/>
          <w:b/>
          <w:bCs/>
          <w:color w:val="auto"/>
          <w:sz w:val="24"/>
          <w:highlight w:val="none"/>
          <w:lang w:eastAsia="zh-CN"/>
        </w:rPr>
        <w:t>响应文件</w:t>
      </w:r>
      <w:r>
        <w:rPr>
          <w:rFonts w:hint="eastAsia" w:ascii="宋体" w:hAnsi="宋体"/>
          <w:b/>
          <w:bCs/>
          <w:color w:val="auto"/>
          <w:sz w:val="24"/>
          <w:highlight w:val="none"/>
        </w:rPr>
        <w:t>的；</w:t>
      </w:r>
    </w:p>
    <w:p w14:paraId="0098F8EC">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2)对已生成的电子</w:t>
      </w:r>
      <w:r>
        <w:rPr>
          <w:rFonts w:hint="eastAsia" w:ascii="宋体" w:hAnsi="宋体"/>
          <w:b/>
          <w:bCs/>
          <w:color w:val="auto"/>
          <w:sz w:val="24"/>
          <w:highlight w:val="none"/>
          <w:lang w:eastAsia="zh-CN"/>
        </w:rPr>
        <w:t>响应文件</w:t>
      </w:r>
      <w:r>
        <w:rPr>
          <w:rFonts w:hint="eastAsia" w:ascii="宋体" w:hAnsi="宋体"/>
          <w:b/>
          <w:bCs/>
          <w:color w:val="auto"/>
          <w:sz w:val="24"/>
          <w:highlight w:val="none"/>
        </w:rPr>
        <w:t>进行破解、修改、压缩等不当操作，或自备的解密电脑环境配置不当等原因导致无法解密的；</w:t>
      </w:r>
    </w:p>
    <w:p w14:paraId="470AF1B7">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3)开标时，实名认证证书过期失效、密码丢失，或者供应商实名认证证书在续期后未在开标前重新制作和上传电子</w:t>
      </w:r>
      <w:r>
        <w:rPr>
          <w:rFonts w:hint="eastAsia" w:ascii="宋体" w:hAnsi="宋体"/>
          <w:b/>
          <w:bCs/>
          <w:color w:val="auto"/>
          <w:sz w:val="24"/>
          <w:highlight w:val="none"/>
          <w:lang w:eastAsia="zh-CN"/>
        </w:rPr>
        <w:t>响应文件</w:t>
      </w:r>
      <w:r>
        <w:rPr>
          <w:rFonts w:hint="eastAsia" w:ascii="宋体" w:hAnsi="宋体"/>
          <w:b/>
          <w:bCs/>
          <w:color w:val="auto"/>
          <w:sz w:val="24"/>
          <w:highlight w:val="none"/>
        </w:rPr>
        <w:t>，导致无法解密的。</w:t>
      </w:r>
    </w:p>
    <w:p w14:paraId="1C79443D">
      <w:pPr>
        <w:spacing w:line="360" w:lineRule="auto"/>
        <w:ind w:firstLine="482" w:firstLineChars="200"/>
        <w:rPr>
          <w:rFonts w:hint="eastAsia"/>
          <w:color w:val="auto"/>
          <w:highlight w:val="none"/>
        </w:rPr>
      </w:pPr>
      <w:r>
        <w:rPr>
          <w:rFonts w:hint="eastAsia" w:ascii="宋体" w:hAnsi="宋体"/>
          <w:b/>
          <w:bCs/>
          <w:color w:val="auto"/>
          <w:sz w:val="24"/>
          <w:highlight w:val="none"/>
        </w:rPr>
        <w:t>4)投标截止时间后，供应商在规定时长内未能成功解密的。</w:t>
      </w:r>
    </w:p>
    <w:p w14:paraId="1899BE57">
      <w:pPr>
        <w:spacing w:line="380" w:lineRule="exact"/>
        <w:jc w:val="left"/>
        <w:rPr>
          <w:rFonts w:hint="eastAsia" w:ascii="宋体" w:hAnsi="宋体" w:cs="宋体"/>
          <w:b/>
          <w:bCs/>
          <w:color w:val="auto"/>
          <w:sz w:val="24"/>
          <w:highlight w:val="none"/>
        </w:rPr>
      </w:pPr>
      <w:r>
        <w:rPr>
          <w:rFonts w:hint="eastAsia" w:ascii="宋体" w:hAnsi="宋体" w:cs="宋体"/>
          <w:b/>
          <w:bCs/>
          <w:color w:val="auto"/>
          <w:kern w:val="1"/>
          <w:sz w:val="24"/>
          <w:szCs w:val="22"/>
          <w:highlight w:val="none"/>
        </w:rPr>
        <w:t>10.5.2</w:t>
      </w:r>
      <w:r>
        <w:rPr>
          <w:rFonts w:hint="eastAsia" w:ascii="宋体" w:hAnsi="宋体" w:cs="宋体"/>
          <w:b/>
          <w:bCs/>
          <w:color w:val="auto"/>
          <w:sz w:val="24"/>
          <w:highlight w:val="none"/>
        </w:rPr>
        <w:t>本项目实行“不见面”开标，各供应商不需到开标现场递交磋商文件。供应商需在开标前（建议至少提前半小时）登录临沂市公共资源交易中心网站--电子交易系统--不见面开标系统（http://ggzyjy.linyi.gov.cn/BidOpening/bidopeninghallaction/hall/login）-进行签到以及对</w:t>
      </w:r>
      <w:r>
        <w:rPr>
          <w:rFonts w:hint="eastAsia" w:ascii="宋体" w:hAnsi="宋体" w:cs="宋体"/>
          <w:b/>
          <w:bCs/>
          <w:color w:val="auto"/>
          <w:sz w:val="24"/>
          <w:highlight w:val="none"/>
          <w:lang w:eastAsia="zh-CN"/>
        </w:rPr>
        <w:t>响应文件</w:t>
      </w:r>
      <w:r>
        <w:rPr>
          <w:rFonts w:hint="eastAsia" w:ascii="宋体" w:hAnsi="宋体" w:cs="宋体"/>
          <w:b/>
          <w:bCs/>
          <w:color w:val="auto"/>
          <w:sz w:val="24"/>
          <w:highlight w:val="none"/>
        </w:rPr>
        <w:t>进行解密，具体操作流程详见临沂市公共资源交易中心网站</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办事指南”中“临沂市不见面开标及远程评标操作手册"下载“不见面开标供应商操作手册”并按照其要求，在开标时做好相关准备工作。因操作人不按操作规程、不熟悉开标系统由此造成开标不成功的后果由供应商自行承担。</w:t>
      </w:r>
    </w:p>
    <w:p w14:paraId="7B7C8B76">
      <w:pPr>
        <w:spacing w:line="38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供应商基本操作流程如下：登录开标大厅（选择供应商身份）--进入本项目--点击我已阅读--供应商签到（输入信息显示签到成功--点击确定）--开标时间截止后进行</w:t>
      </w:r>
      <w:r>
        <w:rPr>
          <w:rFonts w:hint="eastAsia" w:ascii="宋体" w:hAnsi="宋体" w:cs="宋体"/>
          <w:b/>
          <w:bCs/>
          <w:color w:val="auto"/>
          <w:sz w:val="24"/>
          <w:highlight w:val="none"/>
          <w:lang w:eastAsia="zh-CN"/>
        </w:rPr>
        <w:t>响应文件</w:t>
      </w:r>
      <w:r>
        <w:rPr>
          <w:rFonts w:hint="eastAsia" w:ascii="宋体" w:hAnsi="宋体" w:cs="宋体"/>
          <w:b/>
          <w:bCs/>
          <w:color w:val="auto"/>
          <w:sz w:val="24"/>
          <w:highlight w:val="none"/>
        </w:rPr>
        <w:t>解密（解密时长为投标截止时间后</w:t>
      </w:r>
      <w:r>
        <w:rPr>
          <w:rFonts w:hint="eastAsia" w:ascii="宋体" w:hAnsi="宋体" w:cs="宋体"/>
          <w:b/>
          <w:bCs/>
          <w:color w:val="auto"/>
          <w:sz w:val="24"/>
          <w:highlight w:val="none"/>
          <w:lang w:val="en-US" w:eastAsia="zh-CN"/>
        </w:rPr>
        <w:t>10分钟</w:t>
      </w:r>
      <w:r>
        <w:rPr>
          <w:rFonts w:hint="eastAsia" w:ascii="宋体" w:hAnsi="宋体" w:cs="宋体"/>
          <w:b/>
          <w:bCs/>
          <w:color w:val="auto"/>
          <w:sz w:val="24"/>
          <w:highlight w:val="none"/>
        </w:rPr>
        <w:t>以内，务必在规定的时间内解密）--在开标过程中评审委员会在网上不见面开标系统中发起二次（多次）报价指令，报价时间总时长约30分钟（具体时间根据系统要求），各类供应商需在规定时间内在临沂市公共资源交易系统进行网上在线报价[供应商登录临沂市公共资源交易系统，点击企业用户选择供应商，进入在线报价菜单对应项目进行二次报价（即最后报价）。进入项目后选择新增报价：在报价截止之前录入二次报价（最后报价）提交]</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因供应商自身原因导致二次报价没有及时填报的，责任自负</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w:t>
      </w:r>
    </w:p>
    <w:p w14:paraId="63BA5FD5">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注意事项：</w:t>
      </w:r>
    </w:p>
    <w:p w14:paraId="61802C06">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（1）供应商必须在开标前（建议至少提前半小时）登录网上不见面开标系统进行电子签到。</w:t>
      </w:r>
    </w:p>
    <w:p w14:paraId="41BB5AB8">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（2）开标时，供应商可在系统内观看开标过程。</w:t>
      </w:r>
    </w:p>
    <w:p w14:paraId="17177F6A">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（3）各供应商须于投标截止时间之前将加密版电子</w:t>
      </w:r>
      <w:r>
        <w:rPr>
          <w:rFonts w:hint="eastAsia" w:ascii="宋体" w:hAnsi="宋体" w:cs="宋体"/>
          <w:b/>
          <w:bCs/>
          <w:color w:val="auto"/>
          <w:sz w:val="24"/>
          <w:highlight w:val="none"/>
          <w:lang w:eastAsia="zh-CN"/>
        </w:rPr>
        <w:t>响应文件</w:t>
      </w:r>
      <w:r>
        <w:rPr>
          <w:rFonts w:hint="eastAsia" w:ascii="宋体" w:hAnsi="宋体" w:cs="宋体"/>
          <w:b/>
          <w:bCs/>
          <w:color w:val="auto"/>
          <w:sz w:val="24"/>
          <w:highlight w:val="none"/>
        </w:rPr>
        <w:t>上传至电子招投标交易平台，过时视为</w:t>
      </w:r>
      <w:r>
        <w:rPr>
          <w:rFonts w:hint="eastAsia" w:ascii="宋体" w:hAnsi="宋体" w:cs="宋体"/>
          <w:b/>
          <w:bCs/>
          <w:color w:val="auto"/>
          <w:sz w:val="24"/>
          <w:highlight w:val="none"/>
          <w:lang w:eastAsia="zh-CN"/>
        </w:rPr>
        <w:t>响应文件</w:t>
      </w:r>
      <w:r>
        <w:rPr>
          <w:rFonts w:hint="eastAsia" w:ascii="宋体" w:hAnsi="宋体" w:cs="宋体"/>
          <w:b/>
          <w:bCs/>
          <w:color w:val="auto"/>
          <w:sz w:val="24"/>
          <w:highlight w:val="none"/>
        </w:rPr>
        <w:t>未送达。</w:t>
      </w:r>
    </w:p>
    <w:p w14:paraId="0BDFE17F">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（4）未在规定时间内解密的</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10分钟内解密</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，其</w:t>
      </w:r>
      <w:r>
        <w:rPr>
          <w:rFonts w:hint="eastAsia" w:ascii="宋体" w:hAnsi="宋体" w:cs="宋体"/>
          <w:b/>
          <w:bCs/>
          <w:color w:val="auto"/>
          <w:sz w:val="24"/>
          <w:highlight w:val="none"/>
          <w:lang w:eastAsia="zh-CN"/>
        </w:rPr>
        <w:t>响应文件</w:t>
      </w:r>
      <w:r>
        <w:rPr>
          <w:rFonts w:hint="eastAsia" w:ascii="宋体" w:hAnsi="宋体" w:cs="宋体"/>
          <w:b/>
          <w:bCs/>
          <w:color w:val="auto"/>
          <w:sz w:val="24"/>
          <w:highlight w:val="none"/>
        </w:rPr>
        <w:t>将被退回，视为无效标。（因电子开标系统本身原因等不可抗力原因除外）。</w:t>
      </w:r>
    </w:p>
    <w:p w14:paraId="4CF55BF1">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（5）供应商可自行查看唱标信息。</w:t>
      </w:r>
    </w:p>
    <w:p w14:paraId="278E6106">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（6）因供应商自身原因，未按时参加最后报价环节的，视为供应商放弃本项目最后报价的机会，该行为带来的一切后果由供应商自行承担。</w:t>
      </w:r>
    </w:p>
    <w:p w14:paraId="41C91099">
      <w:pPr>
        <w:spacing w:line="38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7）供应商务必按照网上不见面开标操作手册的要求设置参与网上不见面开标的电脑环境，若因供应商自己的原因，如电脑环境未按要求设置导致签到失败、解密失败或无法解密等，视为该供应商自动放弃投标，后果由供应商自行承担。</w:t>
      </w:r>
    </w:p>
    <w:p w14:paraId="38E99BF9">
      <w:pPr>
        <w:tabs>
          <w:tab w:val="left" w:pos="8931"/>
        </w:tabs>
        <w:spacing w:line="380" w:lineRule="exact"/>
        <w:ind w:firstLine="482" w:firstLineChars="200"/>
        <w:rPr>
          <w:rFonts w:hint="eastAsia" w:ascii="宋体" w:hAnsi="宋体" w:cs="宋体"/>
          <w:color w:val="auto"/>
          <w:kern w:val="1"/>
          <w:sz w:val="24"/>
          <w:highlight w:val="none"/>
        </w:rPr>
      </w:pPr>
      <w:r>
        <w:rPr>
          <w:rFonts w:hint="eastAsia" w:ascii="宋体" w:hAnsi="宋体" w:cs="宋体"/>
          <w:b/>
          <w:bCs/>
          <w:color w:val="auto"/>
          <w:sz w:val="24"/>
          <w:highlight w:val="none"/>
        </w:rPr>
        <w:t>特别提示：本项目为竞争性磋商项目，在开标环节实行“不见面”开标，在最后报价环节</w:t>
      </w:r>
      <w:r>
        <w:rPr>
          <w:rFonts w:hint="eastAsia" w:ascii="宋体" w:hAnsi="宋体" w:cs="宋体"/>
          <w:b/>
          <w:bCs/>
          <w:color w:val="auto"/>
          <w:kern w:val="1"/>
          <w:sz w:val="24"/>
          <w:highlight w:val="none"/>
        </w:rPr>
        <w:t>供应商需在系统中操作进行，无需到达开标室现场进行报价。</w:t>
      </w:r>
    </w:p>
    <w:p w14:paraId="652642E6">
      <w:pPr>
        <w:spacing w:line="500" w:lineRule="exact"/>
        <w:ind w:firstLine="480"/>
        <w:rPr>
          <w:rFonts w:hint="eastAsia" w:ascii="宋体" w:hAnsi="宋体" w:cs="宋体"/>
          <w:color w:val="auto"/>
          <w:sz w:val="24"/>
          <w:highlight w:val="none"/>
        </w:rPr>
      </w:pPr>
      <w:r>
        <w:rPr>
          <w:rFonts w:hint="eastAsia" w:ascii="宋体" w:hAnsi="宋体" w:cs="宋体"/>
          <w:color w:val="auto"/>
          <w:kern w:val="1"/>
          <w:sz w:val="24"/>
          <w:highlight w:val="none"/>
        </w:rPr>
        <w:t>10.6供应商提交的响应文件应包含以下各个部分，具体组成内容见第6章响应文件格式</w:t>
      </w:r>
      <w:r>
        <w:rPr>
          <w:rFonts w:hint="eastAsia" w:ascii="宋体" w:hAnsi="宋体" w:cs="宋体"/>
          <w:b w:val="0"/>
          <w:bCs w:val="0"/>
          <w:color w:val="auto"/>
          <w:kern w:val="1"/>
          <w:sz w:val="24"/>
          <w:highlight w:val="none"/>
        </w:rPr>
        <w:t>。（</w:t>
      </w:r>
      <w:r>
        <w:rPr>
          <w:rFonts w:hint="eastAsia" w:ascii="宋体" w:hAnsi="宋体" w:cs="宋体"/>
          <w:b w:val="0"/>
          <w:bCs w:val="0"/>
          <w:color w:val="auto"/>
          <w:sz w:val="24"/>
          <w:highlight w:val="none"/>
        </w:rPr>
        <w:t>本项目实行电子开评标，开标时不需要提供纸质响应文件。</w:t>
      </w:r>
      <w:r>
        <w:rPr>
          <w:rFonts w:hint="eastAsia" w:ascii="宋体" w:hAnsi="宋体" w:cs="宋体"/>
          <w:b w:val="0"/>
          <w:bCs w:val="0"/>
          <w:color w:val="auto"/>
          <w:sz w:val="24"/>
          <w:highlight w:val="none"/>
          <w:lang w:val="en-US" w:eastAsia="zh-CN"/>
        </w:rPr>
        <w:t>成交</w:t>
      </w:r>
      <w:r>
        <w:rPr>
          <w:rFonts w:hint="eastAsia" w:ascii="宋体" w:hAnsi="宋体" w:cs="宋体"/>
          <w:b w:val="0"/>
          <w:bCs w:val="0"/>
          <w:color w:val="auto"/>
          <w:sz w:val="24"/>
          <w:highlight w:val="none"/>
        </w:rPr>
        <w:t>后</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rPr>
        <w:t>供应商应准备四份纸质版本响应文件，一份正本和三份副本。在每一份响应文件上要明确注明“正本”或“副本”字样。</w:t>
      </w:r>
      <w:r>
        <w:rPr>
          <w:rFonts w:hint="eastAsia" w:ascii="宋体" w:hAnsi="宋体" w:cs="宋体"/>
          <w:color w:val="auto"/>
          <w:kern w:val="1"/>
          <w:sz w:val="24"/>
          <w:highlight w:val="none"/>
        </w:rPr>
        <w:t>）</w:t>
      </w:r>
    </w:p>
    <w:p w14:paraId="11808B45">
      <w:pPr>
        <w:spacing w:line="500" w:lineRule="exact"/>
        <w:jc w:val="left"/>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rPr>
        <w:t>10.6.1商务部分</w:t>
      </w:r>
    </w:p>
    <w:p w14:paraId="4806D7B5">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a</w:t>
      </w:r>
      <w:r>
        <w:rPr>
          <w:rFonts w:hint="eastAsia" w:ascii="宋体" w:hAnsi="宋体" w:eastAsia="宋体" w:cs="宋体"/>
          <w:b/>
          <w:bCs/>
          <w:color w:val="auto"/>
          <w:kern w:val="1"/>
          <w:sz w:val="24"/>
          <w:highlight w:val="none"/>
        </w:rPr>
        <w:t>商务标书目录；</w:t>
      </w:r>
    </w:p>
    <w:p w14:paraId="63166888">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b</w:t>
      </w:r>
      <w:r>
        <w:rPr>
          <w:rFonts w:hint="eastAsia" w:ascii="宋体" w:hAnsi="宋体" w:eastAsia="宋体" w:cs="宋体"/>
          <w:b/>
          <w:bCs/>
          <w:color w:val="auto"/>
          <w:kern w:val="1"/>
          <w:sz w:val="24"/>
          <w:highlight w:val="none"/>
        </w:rPr>
        <w:t>法定代表人或其授权委托人签署的投标函（格式见第 6 章）；</w:t>
      </w:r>
    </w:p>
    <w:p w14:paraId="472C91F5">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c</w:t>
      </w:r>
      <w:r>
        <w:rPr>
          <w:rFonts w:hint="eastAsia" w:ascii="宋体" w:hAnsi="宋体" w:eastAsia="宋体" w:cs="宋体"/>
          <w:b/>
          <w:bCs/>
          <w:color w:val="auto"/>
          <w:kern w:val="1"/>
          <w:sz w:val="24"/>
          <w:highlight w:val="none"/>
        </w:rPr>
        <w:t>法定代表人授权委托书（法定代表人参加本项目的投标时，无需填写法定代表人授权委托书，但须在响应文件中附法定代表人的身份证明）（格式见第 6 章）；</w:t>
      </w:r>
    </w:p>
    <w:p w14:paraId="58DCF350">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d</w:t>
      </w:r>
      <w:r>
        <w:rPr>
          <w:rFonts w:hint="eastAsia" w:ascii="宋体" w:hAnsi="宋体" w:eastAsia="宋体" w:cs="宋体"/>
          <w:b/>
          <w:bCs/>
          <w:color w:val="auto"/>
          <w:kern w:val="1"/>
          <w:sz w:val="24"/>
          <w:highlight w:val="none"/>
        </w:rPr>
        <w:t>公开报价一览表（格式见第 6 章）；</w:t>
      </w:r>
    </w:p>
    <w:p w14:paraId="62578BC6">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e分项报价表</w:t>
      </w:r>
    </w:p>
    <w:p w14:paraId="0F1F5915">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f</w:t>
      </w:r>
      <w:r>
        <w:rPr>
          <w:rFonts w:hint="eastAsia" w:ascii="宋体" w:hAnsi="宋体" w:eastAsia="宋体" w:cs="宋体"/>
          <w:b/>
          <w:bCs/>
          <w:color w:val="auto"/>
          <w:kern w:val="1"/>
          <w:sz w:val="24"/>
          <w:highlight w:val="none"/>
        </w:rPr>
        <w:t>供应商基本情况表（格式见第 6 章）；</w:t>
      </w:r>
    </w:p>
    <w:p w14:paraId="37C083E1">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g</w:t>
      </w:r>
      <w:r>
        <w:rPr>
          <w:rFonts w:hint="eastAsia" w:ascii="宋体" w:hAnsi="宋体" w:eastAsia="宋体" w:cs="宋体"/>
          <w:b/>
          <w:bCs/>
          <w:color w:val="auto"/>
          <w:kern w:val="1"/>
          <w:sz w:val="24"/>
          <w:highlight w:val="none"/>
        </w:rPr>
        <w:t>商务条款偏离表（格式见第 6 章）；</w:t>
      </w:r>
    </w:p>
    <w:p w14:paraId="6E1217C5">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h近年类似项目业绩一览表（格式见第6章）</w:t>
      </w:r>
    </w:p>
    <w:p w14:paraId="00FA6853">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i</w:t>
      </w:r>
      <w:r>
        <w:rPr>
          <w:rFonts w:hint="eastAsia" w:ascii="宋体" w:hAnsi="宋体" w:eastAsia="宋体" w:cs="宋体"/>
          <w:b/>
          <w:bCs/>
          <w:color w:val="auto"/>
          <w:kern w:val="1"/>
          <w:sz w:val="24"/>
          <w:highlight w:val="none"/>
        </w:rPr>
        <w:t>中小企业声明函；残疾人福利性单位声明函（若不是可不填）（格式见第 6 章）</w:t>
      </w:r>
    </w:p>
    <w:p w14:paraId="62175649">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lang w:val="en-US" w:eastAsia="zh-CN"/>
        </w:rPr>
        <w:t>j</w:t>
      </w:r>
      <w:r>
        <w:rPr>
          <w:rFonts w:hint="eastAsia" w:ascii="宋体" w:hAnsi="宋体" w:eastAsia="宋体" w:cs="宋体"/>
          <w:b/>
          <w:bCs/>
          <w:color w:val="auto"/>
          <w:kern w:val="1"/>
          <w:sz w:val="24"/>
          <w:highlight w:val="none"/>
        </w:rPr>
        <w:t>供应商认为需要提交的其它相关证明文件。</w:t>
      </w:r>
    </w:p>
    <w:p w14:paraId="1AF5A6BF">
      <w:pPr>
        <w:spacing w:line="500" w:lineRule="exact"/>
        <w:jc w:val="left"/>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rPr>
        <w:t>10.6.2资信部分</w:t>
      </w:r>
    </w:p>
    <w:p w14:paraId="26314627">
      <w:pPr>
        <w:tabs>
          <w:tab w:val="left" w:pos="8931"/>
        </w:tabs>
        <w:spacing w:line="380" w:lineRule="exact"/>
        <w:ind w:firstLine="241" w:firstLineChars="100"/>
        <w:rPr>
          <w:rFonts w:hint="eastAsia" w:ascii="宋体" w:hAnsi="宋体" w:cs="宋体"/>
          <w:b/>
          <w:bCs/>
          <w:color w:val="auto"/>
          <w:kern w:val="1"/>
          <w:sz w:val="24"/>
          <w:highlight w:val="none"/>
        </w:rPr>
      </w:pPr>
      <w:r>
        <w:rPr>
          <w:rFonts w:hint="eastAsia" w:ascii="宋体" w:hAnsi="宋体" w:cs="宋体"/>
          <w:b/>
          <w:bCs/>
          <w:color w:val="auto"/>
          <w:kern w:val="1"/>
          <w:sz w:val="24"/>
          <w:highlight w:val="none"/>
        </w:rPr>
        <w:t>10.6.2.1供应商须对提交的资格证明真实性、有效性、完整性负责，并保证无不诚信记录。</w:t>
      </w:r>
    </w:p>
    <w:p w14:paraId="7AF5DD51">
      <w:pPr>
        <w:tabs>
          <w:tab w:val="left" w:pos="8931"/>
        </w:tabs>
        <w:spacing w:line="380" w:lineRule="exact"/>
        <w:ind w:firstLine="241" w:firstLineChars="100"/>
        <w:rPr>
          <w:rFonts w:hint="eastAsia" w:ascii="宋体" w:hAnsi="宋体" w:cs="宋体"/>
          <w:b/>
          <w:bCs/>
          <w:color w:val="auto"/>
          <w:kern w:val="1"/>
          <w:sz w:val="24"/>
          <w:highlight w:val="none"/>
        </w:rPr>
      </w:pPr>
      <w:r>
        <w:rPr>
          <w:rFonts w:hint="eastAsia" w:ascii="宋体" w:hAnsi="宋体" w:cs="宋体"/>
          <w:b/>
          <w:bCs/>
          <w:color w:val="auto"/>
          <w:kern w:val="1"/>
          <w:sz w:val="24"/>
          <w:highlight w:val="none"/>
        </w:rPr>
        <w:t>10.6.2.2资格证明的字迹、印章必须完整、清晰。</w:t>
      </w:r>
    </w:p>
    <w:p w14:paraId="46CC3E49">
      <w:pPr>
        <w:tabs>
          <w:tab w:val="left" w:pos="8931"/>
        </w:tabs>
        <w:spacing w:line="380" w:lineRule="exact"/>
        <w:ind w:firstLine="241" w:firstLineChars="100"/>
        <w:rPr>
          <w:rFonts w:hint="eastAsia" w:ascii="宋体" w:hAnsi="宋体" w:cs="宋体"/>
          <w:b/>
          <w:bCs/>
          <w:color w:val="auto"/>
          <w:kern w:val="1"/>
          <w:sz w:val="24"/>
          <w:highlight w:val="none"/>
        </w:rPr>
      </w:pPr>
      <w:r>
        <w:rPr>
          <w:rFonts w:hint="eastAsia" w:ascii="宋体" w:hAnsi="宋体" w:cs="宋体"/>
          <w:b/>
          <w:bCs/>
          <w:color w:val="auto"/>
          <w:kern w:val="1"/>
          <w:sz w:val="24"/>
          <w:highlight w:val="none"/>
        </w:rPr>
        <w:t>10.6.2.3资格证明材料包括以下内容（上传至电子投标系统）：</w:t>
      </w:r>
    </w:p>
    <w:p w14:paraId="0BE1C8AD">
      <w:pPr>
        <w:tabs>
          <w:tab w:val="left" w:pos="8931"/>
        </w:tabs>
        <w:spacing w:line="380" w:lineRule="exact"/>
        <w:ind w:firstLine="482" w:firstLineChars="200"/>
        <w:rPr>
          <w:rFonts w:hint="eastAsia" w:ascii="宋体" w:hAnsi="宋体" w:cs="宋体"/>
          <w:b/>
          <w:bCs/>
          <w:color w:val="auto"/>
          <w:kern w:val="1"/>
          <w:sz w:val="24"/>
          <w:highlight w:val="none"/>
          <w:lang w:val="en-US" w:eastAsia="zh-CN"/>
        </w:rPr>
      </w:pPr>
      <w:r>
        <w:rPr>
          <w:rFonts w:hint="eastAsia" w:ascii="宋体" w:hAnsi="宋体" w:cs="宋体"/>
          <w:b/>
          <w:bCs/>
          <w:color w:val="auto"/>
          <w:kern w:val="1"/>
          <w:sz w:val="24"/>
          <w:highlight w:val="none"/>
          <w:lang w:val="en-US" w:eastAsia="zh-CN"/>
        </w:rPr>
        <w:t>a、有效的营业执照、税务登记证、组织机构代码证（三证或五证合一的只需提供具有统一社会信用代码的营业执照）和资质证书；</w:t>
      </w:r>
    </w:p>
    <w:p w14:paraId="7A64DB73">
      <w:pPr>
        <w:tabs>
          <w:tab w:val="left" w:pos="8931"/>
        </w:tabs>
        <w:spacing w:line="380" w:lineRule="exact"/>
        <w:ind w:firstLine="482" w:firstLineChars="200"/>
        <w:rPr>
          <w:rFonts w:hint="eastAsia" w:ascii="宋体" w:hAnsi="宋体" w:cs="宋体"/>
          <w:b/>
          <w:bCs/>
          <w:color w:val="auto"/>
          <w:kern w:val="1"/>
          <w:sz w:val="24"/>
          <w:highlight w:val="none"/>
          <w:lang w:val="en-US" w:eastAsia="zh-CN"/>
        </w:rPr>
      </w:pPr>
      <w:r>
        <w:rPr>
          <w:rFonts w:hint="eastAsia" w:ascii="宋体" w:hAnsi="宋体" w:cs="宋体"/>
          <w:b/>
          <w:bCs/>
          <w:color w:val="auto"/>
          <w:kern w:val="1"/>
          <w:sz w:val="24"/>
          <w:highlight w:val="none"/>
          <w:lang w:val="en-US" w:eastAsia="zh-CN"/>
        </w:rPr>
        <w:t>b、供应商提供证明具有良好的商业信誉和健全的财务会计制度（如上一年度财务审计报告或银行出具的说明供应商商业信誉或结算情况等事项的证明文件）或资格承诺函；</w:t>
      </w:r>
    </w:p>
    <w:p w14:paraId="1CEC97CA">
      <w:pPr>
        <w:tabs>
          <w:tab w:val="left" w:pos="8931"/>
        </w:tabs>
        <w:spacing w:line="380" w:lineRule="exact"/>
        <w:ind w:firstLine="482" w:firstLineChars="200"/>
        <w:rPr>
          <w:rFonts w:hint="eastAsia" w:ascii="宋体" w:hAnsi="宋体" w:cs="宋体"/>
          <w:b/>
          <w:bCs/>
          <w:color w:val="auto"/>
          <w:kern w:val="1"/>
          <w:sz w:val="24"/>
          <w:highlight w:val="none"/>
          <w:lang w:val="en-US" w:eastAsia="zh-CN"/>
        </w:rPr>
      </w:pPr>
      <w:r>
        <w:rPr>
          <w:rFonts w:hint="eastAsia" w:ascii="宋体" w:hAnsi="宋体" w:cs="宋体"/>
          <w:b/>
          <w:bCs/>
          <w:color w:val="auto"/>
          <w:kern w:val="1"/>
          <w:sz w:val="24"/>
          <w:highlight w:val="none"/>
          <w:lang w:val="en-US" w:eastAsia="zh-CN"/>
        </w:rPr>
        <w:t>c、提供供应商近 3 个月的依法缴纳税收和社会保障资金证明材料或资格承诺函；</w:t>
      </w:r>
    </w:p>
    <w:p w14:paraId="47AE38BC">
      <w:pPr>
        <w:tabs>
          <w:tab w:val="left" w:pos="8931"/>
        </w:tabs>
        <w:spacing w:line="380" w:lineRule="exact"/>
        <w:ind w:firstLine="482" w:firstLineChars="200"/>
        <w:rPr>
          <w:rFonts w:hint="eastAsia" w:ascii="宋体" w:hAnsi="宋体" w:cs="宋体"/>
          <w:b/>
          <w:bCs/>
          <w:color w:val="auto"/>
          <w:kern w:val="1"/>
          <w:sz w:val="24"/>
          <w:highlight w:val="none"/>
          <w:lang w:val="en-US" w:eastAsia="zh-CN"/>
        </w:rPr>
      </w:pPr>
      <w:r>
        <w:rPr>
          <w:rFonts w:hint="eastAsia" w:ascii="宋体" w:hAnsi="宋体" w:cs="宋体"/>
          <w:b/>
          <w:bCs/>
          <w:color w:val="auto"/>
          <w:kern w:val="1"/>
          <w:sz w:val="24"/>
          <w:highlight w:val="none"/>
          <w:lang w:val="en-US" w:eastAsia="zh-CN"/>
        </w:rPr>
        <w:t>d、参加政府采购活动前3年内在经营活动中没有重大违法记录的书面声明；</w:t>
      </w:r>
    </w:p>
    <w:p w14:paraId="63659CFA">
      <w:pPr>
        <w:tabs>
          <w:tab w:val="left" w:pos="8931"/>
        </w:tabs>
        <w:spacing w:line="380" w:lineRule="exact"/>
        <w:ind w:firstLine="482" w:firstLineChars="200"/>
        <w:rPr>
          <w:rFonts w:hint="default" w:ascii="宋体" w:hAnsi="宋体" w:cs="宋体"/>
          <w:b/>
          <w:bCs/>
          <w:color w:val="auto"/>
          <w:kern w:val="1"/>
          <w:sz w:val="24"/>
          <w:highlight w:val="none"/>
          <w:lang w:val="en-US" w:eastAsia="zh-CN"/>
        </w:rPr>
      </w:pPr>
      <w:r>
        <w:rPr>
          <w:rFonts w:hint="eastAsia" w:ascii="宋体" w:hAnsi="宋体" w:cs="宋体"/>
          <w:b/>
          <w:bCs/>
          <w:color w:val="auto"/>
          <w:kern w:val="1"/>
          <w:sz w:val="24"/>
          <w:highlight w:val="none"/>
          <w:lang w:val="en-US" w:eastAsia="zh-CN"/>
        </w:rPr>
        <w:t>e、供应商认为需要提交的其他资料及磋商文件中要求的其它材料；</w:t>
      </w:r>
    </w:p>
    <w:p w14:paraId="7AEE8C04">
      <w:pPr>
        <w:spacing w:line="500" w:lineRule="exact"/>
        <w:jc w:val="left"/>
        <w:rPr>
          <w:rFonts w:hint="eastAsia" w:ascii="宋体" w:hAnsi="宋体" w:eastAsia="宋体" w:cs="宋体"/>
          <w:b/>
          <w:bCs/>
          <w:color w:val="auto"/>
          <w:kern w:val="1"/>
          <w:sz w:val="24"/>
          <w:highlight w:val="none"/>
        </w:rPr>
      </w:pPr>
      <w:r>
        <w:rPr>
          <w:rFonts w:hint="eastAsia" w:ascii="宋体" w:hAnsi="宋体" w:eastAsia="宋体" w:cs="宋体"/>
          <w:b/>
          <w:bCs/>
          <w:color w:val="auto"/>
          <w:kern w:val="1"/>
          <w:sz w:val="24"/>
          <w:highlight w:val="none"/>
        </w:rPr>
        <w:t>10.6.3技术部分(如服务中带货物)</w:t>
      </w:r>
    </w:p>
    <w:p w14:paraId="2675EC0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a、</w:t>
      </w:r>
      <w:r>
        <w:rPr>
          <w:color w:val="auto"/>
          <w:sz w:val="24"/>
          <w:highlight w:val="none"/>
        </w:rPr>
        <w:t>技术标书目录</w:t>
      </w:r>
      <w:r>
        <w:rPr>
          <w:rFonts w:hint="eastAsia" w:ascii="宋体" w:hAnsi="宋体" w:eastAsia="宋体" w:cs="宋体"/>
          <w:b w:val="0"/>
          <w:bCs w:val="0"/>
          <w:color w:val="auto"/>
          <w:kern w:val="1"/>
          <w:sz w:val="24"/>
          <w:highlight w:val="none"/>
          <w:lang w:val="en-US" w:eastAsia="zh-CN"/>
        </w:rPr>
        <w:t>；</w:t>
      </w:r>
    </w:p>
    <w:p w14:paraId="17247B1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b、</w:t>
      </w:r>
      <w:r>
        <w:rPr>
          <w:color w:val="auto"/>
          <w:sz w:val="24"/>
          <w:highlight w:val="none"/>
        </w:rPr>
        <w:t>技术条款偏离表（</w:t>
      </w:r>
      <w:r>
        <w:rPr>
          <w:color w:val="auto"/>
          <w:spacing w:val="-12"/>
          <w:sz w:val="24"/>
          <w:highlight w:val="none"/>
        </w:rPr>
        <w:t xml:space="preserve">格式见第 </w:t>
      </w:r>
      <w:r>
        <w:rPr>
          <w:color w:val="auto"/>
          <w:sz w:val="24"/>
          <w:highlight w:val="none"/>
        </w:rPr>
        <w:t>6</w:t>
      </w:r>
      <w:r>
        <w:rPr>
          <w:color w:val="auto"/>
          <w:spacing w:val="-30"/>
          <w:sz w:val="24"/>
          <w:highlight w:val="none"/>
        </w:rPr>
        <w:t xml:space="preserve"> 章</w:t>
      </w:r>
      <w:r>
        <w:rPr>
          <w:color w:val="auto"/>
          <w:sz w:val="24"/>
          <w:highlight w:val="none"/>
        </w:rPr>
        <w:t>）</w:t>
      </w:r>
      <w:r>
        <w:rPr>
          <w:rFonts w:hint="eastAsia" w:ascii="宋体" w:hAnsi="宋体" w:eastAsia="宋体" w:cs="宋体"/>
          <w:b w:val="0"/>
          <w:bCs w:val="0"/>
          <w:color w:val="auto"/>
          <w:kern w:val="1"/>
          <w:sz w:val="24"/>
          <w:highlight w:val="none"/>
          <w:lang w:val="en-US" w:eastAsia="zh-CN"/>
        </w:rPr>
        <w:t>；</w:t>
      </w:r>
    </w:p>
    <w:p w14:paraId="2E6A414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c、</w:t>
      </w:r>
      <w:r>
        <w:rPr>
          <w:color w:val="auto"/>
          <w:sz w:val="24"/>
          <w:highlight w:val="none"/>
        </w:rPr>
        <w:t>技术方案</w:t>
      </w:r>
      <w:r>
        <w:rPr>
          <w:rFonts w:hint="eastAsia" w:ascii="宋体" w:hAnsi="宋体" w:eastAsia="宋体" w:cs="宋体"/>
          <w:b w:val="0"/>
          <w:bCs w:val="0"/>
          <w:color w:val="auto"/>
          <w:kern w:val="1"/>
          <w:sz w:val="24"/>
          <w:highlight w:val="none"/>
          <w:lang w:val="en-US" w:eastAsia="zh-CN"/>
        </w:rPr>
        <w:t>；</w:t>
      </w:r>
    </w:p>
    <w:p w14:paraId="55461CF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d、</w:t>
      </w:r>
      <w:r>
        <w:rPr>
          <w:color w:val="auto"/>
          <w:sz w:val="24"/>
          <w:highlight w:val="none"/>
        </w:rPr>
        <w:t>应商认为需要提交的其他资料及磋商文件中要求的其它材料</w:t>
      </w:r>
      <w:r>
        <w:rPr>
          <w:rFonts w:hint="eastAsia" w:ascii="宋体" w:hAnsi="宋体" w:eastAsia="宋体" w:cs="宋体"/>
          <w:b w:val="0"/>
          <w:bCs w:val="0"/>
          <w:color w:val="auto"/>
          <w:kern w:val="1"/>
          <w:sz w:val="24"/>
          <w:highlight w:val="none"/>
          <w:lang w:val="en-US" w:eastAsia="zh-CN"/>
        </w:rPr>
        <w:t>；</w:t>
      </w:r>
    </w:p>
    <w:p w14:paraId="3D1A17A6">
      <w:pPr>
        <w:keepNext w:val="0"/>
        <w:keepLines w:val="0"/>
        <w:pageBreakBefore w:val="0"/>
        <w:widowControl w:val="0"/>
        <w:kinsoku/>
        <w:wordWrap/>
        <w:overflowPunct/>
        <w:topLinePunct w:val="0"/>
        <w:autoSpaceDE/>
        <w:autoSpaceDN/>
        <w:bidi w:val="0"/>
        <w:adjustRightInd/>
        <w:snapToGrid/>
        <w:spacing w:line="500" w:lineRule="exact"/>
        <w:ind w:firstLine="240" w:firstLineChars="100"/>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10.6.3.1 本次磋商不允许供应商复制粘贴磋商文件的技术要求作为其响应文件的响应情况。</w:t>
      </w:r>
    </w:p>
    <w:p w14:paraId="3634937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kern w:val="1"/>
          <w:sz w:val="24"/>
          <w:highlight w:val="none"/>
          <w:lang w:val="en-US" w:eastAsia="zh-CN"/>
        </w:rPr>
      </w:pPr>
      <w:r>
        <w:rPr>
          <w:rFonts w:hint="eastAsia" w:ascii="宋体" w:hAnsi="宋体" w:eastAsia="宋体" w:cs="宋体"/>
          <w:b w:val="0"/>
          <w:bCs w:val="0"/>
          <w:color w:val="auto"/>
          <w:kern w:val="1"/>
          <w:sz w:val="24"/>
          <w:highlight w:val="none"/>
          <w:lang w:val="en-US" w:eastAsia="zh-CN"/>
        </w:rPr>
        <w:t>10.6.4 响应程度分为“无偏离”、“正偏离”、“负偏离”。</w:t>
      </w:r>
    </w:p>
    <w:p w14:paraId="64A61EE0">
      <w:pPr>
        <w:pStyle w:val="23"/>
        <w:ind w:left="0" w:leftChars="0" w:firstLine="0" w:firstLineChars="0"/>
        <w:rPr>
          <w:color w:val="auto"/>
          <w:highlight w:val="none"/>
        </w:rPr>
      </w:pPr>
    </w:p>
    <w:bookmarkEnd w:id="72"/>
    <w:p w14:paraId="2736F52D">
      <w:pPr>
        <w:pStyle w:val="5"/>
        <w:spacing w:before="0" w:after="0" w:line="360" w:lineRule="auto"/>
        <w:rPr>
          <w:rFonts w:hAnsi="宋体" w:cs="宋体"/>
          <w:color w:val="auto"/>
          <w:highlight w:val="none"/>
          <w:u w:val="none"/>
        </w:rPr>
      </w:pPr>
      <w:bookmarkStart w:id="73" w:name="_Toc2248"/>
      <w:bookmarkStart w:id="74" w:name="_Toc23231"/>
      <w:bookmarkStart w:id="75" w:name="_Toc515647770"/>
      <w:bookmarkStart w:id="76" w:name="_Toc520356155"/>
      <w:bookmarkStart w:id="77" w:name="_Toc27115"/>
      <w:r>
        <w:rPr>
          <w:rFonts w:hint="eastAsia" w:hAnsi="宋体" w:cs="宋体"/>
          <w:color w:val="auto"/>
          <w:highlight w:val="none"/>
          <w:u w:val="none"/>
        </w:rPr>
        <w:t>11.</w:t>
      </w:r>
      <w:bookmarkEnd w:id="73"/>
      <w:bookmarkEnd w:id="74"/>
      <w:bookmarkEnd w:id="75"/>
      <w:bookmarkEnd w:id="76"/>
      <w:r>
        <w:rPr>
          <w:rFonts w:hint="eastAsia" w:hAnsi="宋体" w:cs="宋体"/>
          <w:color w:val="auto"/>
          <w:highlight w:val="none"/>
          <w:u w:val="none"/>
        </w:rPr>
        <w:t>报价</w:t>
      </w:r>
      <w:bookmarkEnd w:id="77"/>
    </w:p>
    <w:p w14:paraId="347F5A62">
      <w:pPr>
        <w:keepNext w:val="0"/>
        <w:keepLines w:val="0"/>
        <w:pageBreakBefore w:val="0"/>
        <w:widowControl w:val="0"/>
        <w:tabs>
          <w:tab w:val="left" w:pos="567"/>
          <w:tab w:val="left" w:pos="1146"/>
          <w:tab w:val="left" w:pos="1719"/>
          <w:tab w:val="left" w:pos="2483"/>
        </w:tabs>
        <w:kinsoku/>
        <w:wordWrap/>
        <w:overflowPunct/>
        <w:topLinePunct w:val="0"/>
        <w:autoSpaceDE/>
        <w:autoSpaceDN/>
        <w:bidi w:val="0"/>
        <w:spacing w:before="120" w:line="360" w:lineRule="auto"/>
        <w:ind w:firstLine="240" w:firstLineChars="100"/>
        <w:textAlignment w:val="auto"/>
        <w:rPr>
          <w:rFonts w:ascii="宋体" w:hAnsi="宋体" w:cs="宋体"/>
          <w:color w:val="auto"/>
          <w:sz w:val="24"/>
          <w:szCs w:val="21"/>
          <w:highlight w:val="none"/>
        </w:rPr>
      </w:pPr>
      <w:r>
        <w:rPr>
          <w:rFonts w:hint="eastAsia" w:ascii="宋体" w:hAnsi="宋体" w:cs="宋体"/>
          <w:color w:val="auto"/>
          <w:sz w:val="24"/>
          <w:highlight w:val="none"/>
        </w:rPr>
        <w:t>11.1供应商的报价应当包括满足本次磋商全部采购需求所应提供的</w:t>
      </w:r>
      <w:r>
        <w:rPr>
          <w:rFonts w:hint="eastAsia" w:ascii="宋体" w:hAnsi="宋体" w:cs="宋体"/>
          <w:color w:val="auto"/>
          <w:sz w:val="24"/>
          <w:highlight w:val="none"/>
          <w:lang w:val="en-US" w:eastAsia="zh-CN"/>
        </w:rPr>
        <w:t>服务</w:t>
      </w:r>
      <w:r>
        <w:rPr>
          <w:rFonts w:hint="eastAsia" w:ascii="宋体" w:hAnsi="宋体" w:cs="宋体"/>
          <w:color w:val="auto"/>
          <w:sz w:val="24"/>
          <w:highlight w:val="none"/>
        </w:rPr>
        <w:t>，以及伴随的</w:t>
      </w:r>
      <w:r>
        <w:rPr>
          <w:rFonts w:hint="eastAsia" w:ascii="宋体" w:hAnsi="宋体" w:cs="宋体"/>
          <w:color w:val="auto"/>
          <w:sz w:val="24"/>
          <w:highlight w:val="none"/>
          <w:lang w:val="en-US" w:eastAsia="zh-CN"/>
        </w:rPr>
        <w:t>货物</w:t>
      </w:r>
      <w:r>
        <w:rPr>
          <w:rFonts w:hint="eastAsia" w:ascii="宋体" w:hAnsi="宋体" w:cs="宋体"/>
          <w:color w:val="auto"/>
          <w:sz w:val="24"/>
          <w:highlight w:val="none"/>
        </w:rPr>
        <w:t>。所有投标均</w:t>
      </w:r>
      <w:r>
        <w:rPr>
          <w:rFonts w:hint="eastAsia" w:ascii="宋体" w:hAnsi="宋体" w:cs="宋体"/>
          <w:b/>
          <w:bCs/>
          <w:color w:val="auto"/>
          <w:sz w:val="24"/>
          <w:highlight w:val="none"/>
        </w:rPr>
        <w:t>以人民币</w:t>
      </w:r>
      <w:r>
        <w:rPr>
          <w:rFonts w:hint="eastAsia" w:ascii="宋体" w:hAnsi="宋体" w:cs="宋体"/>
          <w:color w:val="auto"/>
          <w:sz w:val="24"/>
          <w:highlight w:val="none"/>
        </w:rPr>
        <w:t>报价，供应商的报价应遵守《中华人民共和国价格法》。为保证公平竞争，如有服务主体部分有与项目无关的赠与行为，其响应文件将被认定为</w:t>
      </w:r>
      <w:r>
        <w:rPr>
          <w:rFonts w:hint="eastAsia" w:ascii="宋体" w:hAnsi="宋体" w:cs="宋体"/>
          <w:b/>
          <w:color w:val="auto"/>
          <w:sz w:val="24"/>
          <w:highlight w:val="none"/>
        </w:rPr>
        <w:t>响应文件无效</w:t>
      </w:r>
      <w:r>
        <w:rPr>
          <w:rFonts w:hint="eastAsia" w:ascii="宋体" w:hAnsi="宋体" w:cs="宋体"/>
          <w:color w:val="auto"/>
          <w:sz w:val="24"/>
          <w:highlight w:val="none"/>
        </w:rPr>
        <w:t>。</w:t>
      </w:r>
    </w:p>
    <w:p w14:paraId="509D09D0">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cs="宋体"/>
          <w:color w:val="auto"/>
          <w:sz w:val="24"/>
          <w:highlight w:val="none"/>
        </w:rPr>
      </w:pPr>
      <w:r>
        <w:rPr>
          <w:rFonts w:hint="eastAsia" w:ascii="宋体" w:hAnsi="宋体" w:cs="宋体"/>
          <w:color w:val="auto"/>
          <w:sz w:val="24"/>
          <w:highlight w:val="none"/>
        </w:rPr>
        <w:t>11.2供应商应在分项报价表上标明响应服务及相关服务明细的单价（如适用）和总价，并由法定代表人（非法人组织的负责人）或其委托代理人签署。</w:t>
      </w:r>
    </w:p>
    <w:p w14:paraId="2B7F7110">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宋体" w:hAnsi="宋体" w:cs="宋体"/>
          <w:color w:val="auto"/>
          <w:sz w:val="24"/>
          <w:highlight w:val="none"/>
        </w:rPr>
      </w:pPr>
      <w:r>
        <w:rPr>
          <w:rFonts w:hint="eastAsia" w:ascii="宋体" w:hAnsi="宋体" w:cs="宋体"/>
          <w:b/>
          <w:bCs/>
          <w:color w:val="auto"/>
          <w:sz w:val="24"/>
          <w:highlight w:val="none"/>
        </w:rPr>
        <w:t>供应商应根据本磋商文件的要求，结合自身的实际情况，</w:t>
      </w:r>
      <w:r>
        <w:rPr>
          <w:rFonts w:hint="eastAsia" w:ascii="宋体" w:hAnsi="宋体" w:cs="宋体"/>
          <w:color w:val="auto"/>
          <w:sz w:val="24"/>
          <w:highlight w:val="none"/>
        </w:rPr>
        <w:t>投标报价包含为完成本项目所需的全部费用，包括各种保险、管理费、税费、利润等相关服务的所有费用。</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应充分考虑本项目合同实施期间可能发生的一切费用，并承担由此而带来的风险。</w:t>
      </w:r>
    </w:p>
    <w:p w14:paraId="4C5932B6">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cs="宋体"/>
          <w:color w:val="auto"/>
          <w:sz w:val="24"/>
          <w:highlight w:val="none"/>
        </w:rPr>
      </w:pPr>
      <w:r>
        <w:rPr>
          <w:rFonts w:hint="eastAsia" w:ascii="宋体" w:hAnsi="宋体" w:cs="宋体"/>
          <w:color w:val="auto"/>
          <w:sz w:val="24"/>
          <w:highlight w:val="none"/>
        </w:rPr>
        <w:t>凡</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在投标中未列明但又为本次招标所必备的项目或遗漏项目，招标人将一律视为已包括在其投标中，在合同执行中将不予考虑。</w:t>
      </w:r>
    </w:p>
    <w:p w14:paraId="123ECA80">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11.3供应商提交的最后报价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在合同履行过程中是固定不变的，不得以任何理由予以变更。任何包含价格调整要求的响应，其响应文件将被认定为</w:t>
      </w:r>
      <w:r>
        <w:rPr>
          <w:rFonts w:hint="eastAsia" w:ascii="宋体" w:hAnsi="宋体" w:eastAsia="宋体" w:cs="宋体"/>
          <w:b/>
          <w:bCs/>
          <w:color w:val="auto"/>
          <w:sz w:val="24"/>
          <w:highlight w:val="none"/>
        </w:rPr>
        <w:t>响应文件无效</w:t>
      </w:r>
      <w:r>
        <w:rPr>
          <w:rFonts w:hint="eastAsia" w:ascii="宋体" w:hAnsi="宋体" w:eastAsia="宋体" w:cs="宋体"/>
          <w:color w:val="auto"/>
          <w:sz w:val="24"/>
          <w:highlight w:val="none"/>
        </w:rPr>
        <w:t>。</w:t>
      </w:r>
    </w:p>
    <w:p w14:paraId="7771C0E9">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11.4采购人不接受具有附加条件的报价或多个方案的报价。</w:t>
      </w:r>
    </w:p>
    <w:p w14:paraId="1E104011">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11.5通过资格性审查和符合性审查的供应商有再次报价的机会，但每一次报价均应以书面形式确认。价格的评审以最终报价为准。</w:t>
      </w:r>
    </w:p>
    <w:p w14:paraId="62AB691D">
      <w:pPr>
        <w:keepNext w:val="0"/>
        <w:keepLines w:val="0"/>
        <w:pageBreakBefore w:val="0"/>
        <w:widowControl w:val="0"/>
        <w:kinsoku/>
        <w:wordWrap/>
        <w:overflowPunct/>
        <w:topLinePunct w:val="0"/>
        <w:autoSpaceDE/>
        <w:autoSpaceDN/>
        <w:bidi w:val="0"/>
        <w:spacing w:line="360" w:lineRule="auto"/>
        <w:ind w:firstLine="240" w:firstLineChars="100"/>
        <w:textAlignment w:val="auto"/>
        <w:rPr>
          <w:rFonts w:hint="eastAsia" w:ascii="宋体" w:hAnsi="宋体" w:cs="宋体"/>
          <w:b/>
          <w:bCs/>
          <w:color w:val="auto"/>
          <w:sz w:val="24"/>
          <w:highlight w:val="none"/>
        </w:rPr>
      </w:pPr>
      <w:r>
        <w:rPr>
          <w:rFonts w:hint="eastAsia" w:ascii="宋体" w:hAnsi="宋体" w:cs="宋体"/>
          <w:color w:val="auto"/>
          <w:sz w:val="24"/>
          <w:highlight w:val="none"/>
        </w:rPr>
        <w:t>11.6电子版响应文件</w:t>
      </w:r>
      <w:r>
        <w:rPr>
          <w:rFonts w:hint="eastAsia" w:ascii="宋体" w:hAnsi="宋体" w:cs="宋体"/>
          <w:b/>
          <w:bCs/>
          <w:color w:val="auto"/>
          <w:sz w:val="24"/>
          <w:highlight w:val="none"/>
        </w:rPr>
        <w:t>（本项目不适用）</w:t>
      </w:r>
    </w:p>
    <w:p w14:paraId="0DE4BCC4">
      <w:pPr>
        <w:spacing w:line="360" w:lineRule="auto"/>
        <w:ind w:firstLine="480"/>
        <w:rPr>
          <w:rFonts w:hint="eastAsia" w:ascii="宋体" w:hAnsi="宋体"/>
          <w:color w:val="auto"/>
          <w:sz w:val="24"/>
          <w:highlight w:val="none"/>
        </w:rPr>
      </w:pPr>
      <w:r>
        <w:rPr>
          <w:rFonts w:hint="eastAsia" w:ascii="宋体" w:hAnsi="宋体" w:cs="宋体"/>
          <w:color w:val="auto"/>
          <w:sz w:val="24"/>
          <w:highlight w:val="none"/>
        </w:rPr>
        <w:t>●电子版响应文件内容为</w:t>
      </w:r>
      <w:r>
        <w:rPr>
          <w:rFonts w:hint="eastAsia" w:ascii="宋体" w:hAnsi="宋体"/>
          <w:color w:val="auto"/>
          <w:sz w:val="24"/>
          <w:highlight w:val="none"/>
        </w:rPr>
        <w:t>word格式或PDF格式、未加密电子响应文件(NLYTF格式)和加密电子响应文件(LYTF格式)各一份。</w:t>
      </w:r>
    </w:p>
    <w:p w14:paraId="1594400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●电子版介质为“U盘”。</w:t>
      </w:r>
    </w:p>
    <w:p w14:paraId="7DDAADE4">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●电子版响应文件作为响应文件的一部分，无论成交结果如何，均不退回。</w:t>
      </w:r>
    </w:p>
    <w:p w14:paraId="73D54FFD">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●电子版响应文件单独密封，与响应文件同时递交。</w:t>
      </w:r>
    </w:p>
    <w:p w14:paraId="332DDB9C">
      <w:pPr>
        <w:pStyle w:val="5"/>
        <w:spacing w:before="0" w:after="0" w:line="360" w:lineRule="auto"/>
        <w:rPr>
          <w:rFonts w:hAnsi="宋体" w:cs="宋体"/>
          <w:color w:val="auto"/>
          <w:highlight w:val="none"/>
          <w:u w:val="none"/>
        </w:rPr>
      </w:pPr>
      <w:bookmarkStart w:id="78" w:name="_Toc4511"/>
      <w:bookmarkStart w:id="79" w:name="_Toc11514"/>
      <w:bookmarkStart w:id="80" w:name="_Toc515647771"/>
      <w:bookmarkStart w:id="81" w:name="_Toc17788"/>
      <w:bookmarkStart w:id="82" w:name="_Toc520356156"/>
      <w:bookmarkStart w:id="83" w:name="_Ref467306513"/>
      <w:r>
        <w:rPr>
          <w:rFonts w:hint="eastAsia" w:hAnsi="宋体" w:cs="宋体"/>
          <w:color w:val="auto"/>
          <w:highlight w:val="none"/>
          <w:u w:val="none"/>
        </w:rPr>
        <w:t>12.磋商保证金</w:t>
      </w:r>
      <w:bookmarkEnd w:id="78"/>
      <w:bookmarkEnd w:id="79"/>
      <w:bookmarkEnd w:id="80"/>
      <w:bookmarkEnd w:id="81"/>
      <w:bookmarkEnd w:id="82"/>
      <w:bookmarkEnd w:id="83"/>
    </w:p>
    <w:p w14:paraId="63CEEC2B">
      <w:pPr>
        <w:spacing w:line="360" w:lineRule="auto"/>
        <w:ind w:left="840" w:hanging="840" w:hangingChars="350"/>
        <w:rPr>
          <w:rFonts w:hint="eastAsia" w:ascii="宋体" w:hAnsi="宋体" w:cs="宋体"/>
          <w:b/>
          <w:color w:val="auto"/>
          <w:sz w:val="24"/>
          <w:highlight w:val="none"/>
        </w:rPr>
      </w:pPr>
      <w:bookmarkStart w:id="84" w:name="_Ref467306302"/>
      <w:bookmarkStart w:id="85" w:name="_Toc515647772"/>
      <w:bookmarkStart w:id="86" w:name="_Toc520356157"/>
      <w:bookmarkStart w:id="87" w:name="_Toc32569"/>
      <w:bookmarkStart w:id="88" w:name="_Toc23590"/>
      <w:r>
        <w:rPr>
          <w:rFonts w:hint="eastAsia" w:ascii="宋体" w:hAnsi="宋体" w:cs="宋体"/>
          <w:color w:val="auto"/>
          <w:sz w:val="24"/>
          <w:highlight w:val="none"/>
        </w:rPr>
        <w:t>12.1</w:t>
      </w:r>
      <w:bookmarkEnd w:id="84"/>
      <w:r>
        <w:rPr>
          <w:rFonts w:hint="eastAsia" w:ascii="宋体" w:hAnsi="宋体" w:cs="宋体"/>
          <w:b/>
          <w:color w:val="auto"/>
          <w:sz w:val="24"/>
          <w:highlight w:val="none"/>
        </w:rPr>
        <w:t>根据鲁财采【2019】40号的规定，本项目不向诚信记录良好的供应商收取磋商保</w:t>
      </w:r>
    </w:p>
    <w:p w14:paraId="0621FDB0">
      <w:pPr>
        <w:spacing w:line="360" w:lineRule="auto"/>
        <w:ind w:left="843" w:hanging="843" w:hangingChars="350"/>
        <w:rPr>
          <w:rFonts w:ascii="宋体" w:hAnsi="宋体" w:cs="宋体"/>
          <w:color w:val="auto"/>
          <w:sz w:val="24"/>
          <w:highlight w:val="none"/>
        </w:rPr>
      </w:pPr>
      <w:r>
        <w:rPr>
          <w:rFonts w:hint="eastAsia" w:ascii="宋体" w:hAnsi="宋体" w:cs="宋体"/>
          <w:b/>
          <w:color w:val="auto"/>
          <w:sz w:val="24"/>
          <w:highlight w:val="none"/>
        </w:rPr>
        <w:t>证金。</w:t>
      </w:r>
    </w:p>
    <w:p w14:paraId="6B887FB4">
      <w:pPr>
        <w:spacing w:line="360" w:lineRule="auto"/>
        <w:ind w:left="900" w:hanging="900" w:hangingChars="375"/>
        <w:rPr>
          <w:rStyle w:val="24"/>
          <w:rFonts w:hint="default" w:cs="宋体"/>
          <w:color w:val="auto"/>
          <w:sz w:val="24"/>
          <w:highlight w:val="none"/>
        </w:rPr>
      </w:pPr>
      <w:r>
        <w:rPr>
          <w:rFonts w:hint="eastAsia" w:ascii="宋体" w:hAnsi="宋体" w:cs="宋体"/>
          <w:color w:val="auto"/>
          <w:sz w:val="24"/>
          <w:highlight w:val="none"/>
        </w:rPr>
        <w:t>12.2</w:t>
      </w:r>
      <w:r>
        <w:rPr>
          <w:rStyle w:val="24"/>
          <w:rFonts w:hint="default" w:cs="宋体"/>
          <w:color w:val="auto"/>
          <w:sz w:val="24"/>
          <w:szCs w:val="24"/>
          <w:highlight w:val="none"/>
        </w:rPr>
        <w:t>供应商在</w:t>
      </w:r>
      <w:r>
        <w:rPr>
          <w:rStyle w:val="24"/>
          <w:rFonts w:cs="宋体"/>
          <w:color w:val="auto"/>
          <w:sz w:val="24"/>
          <w:szCs w:val="24"/>
          <w:highlight w:val="none"/>
        </w:rPr>
        <w:t>磋商</w:t>
      </w:r>
      <w:r>
        <w:rPr>
          <w:rStyle w:val="24"/>
          <w:rFonts w:hint="default" w:cs="宋体"/>
          <w:color w:val="auto"/>
          <w:sz w:val="24"/>
          <w:szCs w:val="24"/>
          <w:highlight w:val="none"/>
        </w:rPr>
        <w:t>过程及成交后如有违反法律法规的情形，采购代理机构将如实上报</w:t>
      </w:r>
      <w:r>
        <w:rPr>
          <w:rStyle w:val="24"/>
          <w:rFonts w:hint="default" w:cs="宋体"/>
          <w:color w:val="auto"/>
          <w:sz w:val="24"/>
          <w:highlight w:val="none"/>
        </w:rPr>
        <w:t>政</w:t>
      </w:r>
    </w:p>
    <w:p w14:paraId="56D667D2">
      <w:pPr>
        <w:spacing w:line="360" w:lineRule="auto"/>
        <w:ind w:left="900" w:hanging="900" w:hangingChars="375"/>
        <w:rPr>
          <w:rFonts w:ascii="宋体" w:hAnsi="宋体" w:cs="宋体"/>
          <w:color w:val="auto"/>
          <w:sz w:val="24"/>
          <w:highlight w:val="none"/>
        </w:rPr>
      </w:pPr>
      <w:r>
        <w:rPr>
          <w:rStyle w:val="24"/>
          <w:rFonts w:hint="default" w:cs="宋体"/>
          <w:color w:val="auto"/>
          <w:sz w:val="24"/>
          <w:highlight w:val="none"/>
        </w:rPr>
        <w:t>府采购</w:t>
      </w:r>
      <w:r>
        <w:rPr>
          <w:rStyle w:val="24"/>
          <w:rFonts w:hint="default" w:cs="宋体"/>
          <w:color w:val="auto"/>
          <w:sz w:val="24"/>
          <w:szCs w:val="24"/>
          <w:highlight w:val="none"/>
        </w:rPr>
        <w:t>监管部门。</w:t>
      </w:r>
    </w:p>
    <w:p w14:paraId="6AE0C36E">
      <w:pPr>
        <w:pStyle w:val="5"/>
        <w:spacing w:before="0" w:after="0" w:line="360" w:lineRule="auto"/>
        <w:rPr>
          <w:rFonts w:hAnsi="宋体" w:cs="宋体"/>
          <w:color w:val="auto"/>
          <w:highlight w:val="none"/>
          <w:u w:val="none"/>
        </w:rPr>
      </w:pPr>
      <w:bookmarkStart w:id="89" w:name="_Toc18269"/>
      <w:r>
        <w:rPr>
          <w:rFonts w:hint="eastAsia" w:hAnsi="宋体" w:cs="宋体"/>
          <w:color w:val="auto"/>
          <w:highlight w:val="none"/>
          <w:u w:val="none"/>
        </w:rPr>
        <w:t>13.响应有效期</w:t>
      </w:r>
      <w:bookmarkEnd w:id="85"/>
      <w:bookmarkEnd w:id="86"/>
      <w:bookmarkEnd w:id="87"/>
      <w:bookmarkEnd w:id="88"/>
      <w:bookmarkEnd w:id="89"/>
    </w:p>
    <w:p w14:paraId="2B437FE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13.1响应应在</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中规定时间内保持有效。响应有效期不满足要求的响</w:t>
      </w:r>
    </w:p>
    <w:p w14:paraId="34AF8330">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应，其响应文件将被认定为</w:t>
      </w:r>
      <w:r>
        <w:rPr>
          <w:rFonts w:hint="eastAsia" w:ascii="宋体" w:hAnsi="宋体" w:cs="宋体"/>
          <w:b/>
          <w:color w:val="auto"/>
          <w:sz w:val="24"/>
          <w:highlight w:val="none"/>
        </w:rPr>
        <w:t>响应文件无效</w:t>
      </w:r>
      <w:r>
        <w:rPr>
          <w:rFonts w:hint="eastAsia" w:ascii="宋体" w:hAnsi="宋体" w:cs="宋体"/>
          <w:color w:val="auto"/>
          <w:sz w:val="24"/>
          <w:highlight w:val="none"/>
        </w:rPr>
        <w:t>。</w:t>
      </w:r>
    </w:p>
    <w:p w14:paraId="7D02BF19">
      <w:pPr>
        <w:spacing w:line="360" w:lineRule="auto"/>
        <w:ind w:left="900" w:hanging="900" w:hangingChars="375"/>
        <w:rPr>
          <w:rFonts w:hint="eastAsia" w:ascii="宋体" w:hAnsi="宋体" w:cs="宋体"/>
          <w:color w:val="auto"/>
          <w:sz w:val="24"/>
          <w:highlight w:val="none"/>
        </w:rPr>
      </w:pPr>
      <w:bookmarkStart w:id="90" w:name="_Toc493"/>
      <w:bookmarkStart w:id="91" w:name="_Toc520356158"/>
      <w:bookmarkStart w:id="92" w:name="_Toc515647773"/>
      <w:bookmarkStart w:id="93" w:name="_Toc17074"/>
      <w:r>
        <w:rPr>
          <w:rFonts w:hint="eastAsia" w:ascii="宋体" w:hAnsi="宋体" w:cs="宋体"/>
          <w:color w:val="auto"/>
          <w:sz w:val="24"/>
          <w:highlight w:val="none"/>
        </w:rPr>
        <w:t>13.2因特殊原因，采购人或采购代理机构可以在原响应有效期截止之前，要求供应商延</w:t>
      </w:r>
    </w:p>
    <w:p w14:paraId="30112D76">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长响应文件的有效期。接受该要求的供应商将不会被要求和允许修正其响应，且本须知</w:t>
      </w:r>
    </w:p>
    <w:p w14:paraId="7BCEFE61">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中有关磋商保证金的要求须在延长的有效期内继续有效。供应商可以拒绝延长响应有效</w:t>
      </w:r>
    </w:p>
    <w:p w14:paraId="68D306AC">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期的要求，且不承担任何责任。上述要求和答复都应以书面形式提交。</w:t>
      </w:r>
    </w:p>
    <w:bookmarkEnd w:id="90"/>
    <w:bookmarkEnd w:id="91"/>
    <w:bookmarkEnd w:id="92"/>
    <w:bookmarkEnd w:id="93"/>
    <w:p w14:paraId="72B1FF24">
      <w:pPr>
        <w:pStyle w:val="5"/>
        <w:spacing w:before="0" w:after="0" w:line="360" w:lineRule="auto"/>
        <w:rPr>
          <w:rFonts w:hAnsi="宋体" w:cs="宋体"/>
          <w:color w:val="auto"/>
          <w:highlight w:val="none"/>
          <w:u w:val="none"/>
        </w:rPr>
      </w:pPr>
      <w:bookmarkStart w:id="94" w:name="_Toc19087083"/>
      <w:bookmarkStart w:id="95" w:name="_Toc518923077"/>
      <w:bookmarkStart w:id="96" w:name="_Toc7299"/>
      <w:r>
        <w:rPr>
          <w:rFonts w:hint="eastAsia" w:hAnsi="宋体" w:cs="宋体"/>
          <w:color w:val="auto"/>
          <w:highlight w:val="none"/>
          <w:u w:val="none"/>
        </w:rPr>
        <w:t>14.响应文件的</w:t>
      </w:r>
      <w:bookmarkEnd w:id="94"/>
      <w:bookmarkEnd w:id="95"/>
      <w:r>
        <w:rPr>
          <w:rFonts w:hint="eastAsia" w:hAnsi="宋体" w:cs="宋体"/>
          <w:color w:val="auto"/>
          <w:highlight w:val="none"/>
        </w:rPr>
        <w:t>签署及规定</w:t>
      </w:r>
      <w:bookmarkEnd w:id="96"/>
    </w:p>
    <w:p w14:paraId="74020FDA">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14.1电子标</w:t>
      </w:r>
    </w:p>
    <w:p w14:paraId="644D192E">
      <w:pPr>
        <w:spacing w:line="360" w:lineRule="auto"/>
        <w:rPr>
          <w:rFonts w:ascii="宋体" w:hAnsi="宋体" w:cs="宋体"/>
          <w:color w:val="auto"/>
          <w:kern w:val="0"/>
          <w:sz w:val="24"/>
          <w:highlight w:val="none"/>
        </w:rPr>
      </w:pPr>
      <w:r>
        <w:rPr>
          <w:rFonts w:hint="eastAsia" w:ascii="宋体" w:hAnsi="宋体" w:cs="宋体"/>
          <w:color w:val="auto"/>
          <w:sz w:val="24"/>
          <w:highlight w:val="none"/>
        </w:rPr>
        <w:t>14.1.1供应商应按</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中的规定，</w:t>
      </w:r>
      <w:r>
        <w:rPr>
          <w:rFonts w:hint="eastAsia" w:ascii="宋体" w:hAnsi="宋体" w:cs="宋体"/>
          <w:color w:val="auto"/>
          <w:kern w:val="0"/>
          <w:sz w:val="24"/>
          <w:highlight w:val="none"/>
        </w:rPr>
        <w:t>准备和递交1份加密电子响应文件</w:t>
      </w:r>
    </w:p>
    <w:p w14:paraId="336805CD">
      <w:pPr>
        <w:spacing w:line="360" w:lineRule="auto"/>
        <w:ind w:left="900" w:hanging="900" w:hangingChars="375"/>
        <w:rPr>
          <w:rFonts w:hint="eastAsia" w:ascii="宋体" w:hAnsi="宋体" w:cs="宋体"/>
          <w:color w:val="auto"/>
          <w:kern w:val="0"/>
          <w:sz w:val="24"/>
          <w:highlight w:val="none"/>
        </w:rPr>
      </w:pPr>
      <w:r>
        <w:rPr>
          <w:rFonts w:hint="eastAsia" w:ascii="宋体" w:hAnsi="宋体" w:cs="宋体"/>
          <w:color w:val="auto"/>
          <w:kern w:val="0"/>
          <w:sz w:val="24"/>
          <w:highlight w:val="none"/>
        </w:rPr>
        <w:t>（.LYTF格式），应于提交响应文件截止时间前上传至临沂市公共资源交易电子交易系</w:t>
      </w:r>
    </w:p>
    <w:p w14:paraId="4B11257C">
      <w:pPr>
        <w:spacing w:line="360" w:lineRule="auto"/>
        <w:ind w:left="900" w:hanging="900" w:hangingChars="375"/>
        <w:rPr>
          <w:rFonts w:ascii="宋体" w:hAnsi="宋体" w:cs="宋体"/>
          <w:color w:val="auto"/>
          <w:kern w:val="0"/>
          <w:position w:val="-2"/>
          <w:sz w:val="24"/>
          <w:highlight w:val="none"/>
        </w:rPr>
      </w:pPr>
      <w:r>
        <w:rPr>
          <w:rFonts w:hint="eastAsia" w:ascii="宋体" w:hAnsi="宋体" w:cs="宋体"/>
          <w:color w:val="auto"/>
          <w:kern w:val="0"/>
          <w:sz w:val="24"/>
          <w:highlight w:val="none"/>
        </w:rPr>
        <w:t>统。</w:t>
      </w:r>
    </w:p>
    <w:p w14:paraId="1DCBFF72">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14.1.2电子响应文件封面应由供应商加盖单位电子公章，响应文件指定位置应由供应商</w:t>
      </w:r>
    </w:p>
    <w:p w14:paraId="64B0E31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法定代表人/负责人签章、加盖单位电子公章。</w:t>
      </w:r>
    </w:p>
    <w:p w14:paraId="2201E058">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14.1.3响应文件因字迹潦草、表达不清所引起的后果由供应商负责。</w:t>
      </w:r>
    </w:p>
    <w:p w14:paraId="36B83E97">
      <w:pPr>
        <w:spacing w:line="360" w:lineRule="auto"/>
        <w:rPr>
          <w:rFonts w:hint="eastAsia" w:ascii="宋体" w:hAnsi="宋体" w:cs="宋体"/>
          <w:b/>
          <w:bCs/>
          <w:color w:val="auto"/>
          <w:sz w:val="24"/>
          <w:highlight w:val="none"/>
        </w:rPr>
      </w:pPr>
      <w:r>
        <w:rPr>
          <w:rFonts w:hint="eastAsia" w:ascii="宋体" w:hAnsi="宋体" w:cs="宋体"/>
          <w:color w:val="auto"/>
          <w:sz w:val="24"/>
          <w:highlight w:val="none"/>
        </w:rPr>
        <w:t>14.2非电子标</w:t>
      </w:r>
      <w:r>
        <w:rPr>
          <w:rFonts w:hint="eastAsia" w:ascii="宋体" w:hAnsi="宋体" w:cs="宋体"/>
          <w:b/>
          <w:bCs/>
          <w:color w:val="auto"/>
          <w:sz w:val="24"/>
          <w:highlight w:val="none"/>
        </w:rPr>
        <w:t>（本项目不适用）</w:t>
      </w:r>
    </w:p>
    <w:p w14:paraId="60B676D7">
      <w:pPr>
        <w:spacing w:line="360" w:lineRule="auto"/>
        <w:rPr>
          <w:rFonts w:ascii="宋体" w:hAnsi="宋体" w:cs="宋体"/>
          <w:color w:val="auto"/>
          <w:sz w:val="24"/>
          <w:highlight w:val="none"/>
        </w:rPr>
      </w:pPr>
      <w:r>
        <w:rPr>
          <w:rFonts w:hint="eastAsia" w:ascii="宋体" w:hAnsi="宋体" w:cs="宋体"/>
          <w:color w:val="auto"/>
          <w:sz w:val="24"/>
          <w:highlight w:val="none"/>
        </w:rPr>
        <w:t>14.2.1按商务、资信、技术及报价四部分装订成一册响应文件，每册文件正本一份，副本份数见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。正本和副本的封面上应清楚地标记“正本”或“副本”的字样。当副本和正本不一致时，以正本为准。</w:t>
      </w:r>
    </w:p>
    <w:p w14:paraId="34727590">
      <w:pPr>
        <w:spacing w:line="360" w:lineRule="auto"/>
        <w:rPr>
          <w:rFonts w:ascii="宋体" w:hAnsi="宋体" w:cs="宋体"/>
          <w:color w:val="auto"/>
          <w:sz w:val="24"/>
          <w:highlight w:val="none"/>
        </w:rPr>
      </w:pPr>
      <w:r>
        <w:rPr>
          <w:rFonts w:hint="eastAsia" w:ascii="宋体" w:hAnsi="宋体" w:cs="宋体"/>
          <w:color w:val="auto"/>
          <w:sz w:val="24"/>
          <w:highlight w:val="none"/>
        </w:rPr>
        <w:t>14.2.2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14:paraId="60596589">
      <w:pPr>
        <w:spacing w:line="360" w:lineRule="auto"/>
        <w:rPr>
          <w:rFonts w:ascii="宋体" w:hAnsi="宋体" w:cs="宋体"/>
          <w:color w:val="auto"/>
          <w:sz w:val="24"/>
          <w:highlight w:val="none"/>
        </w:rPr>
      </w:pPr>
      <w:r>
        <w:rPr>
          <w:rFonts w:hint="eastAsia" w:ascii="宋体" w:hAnsi="宋体" w:cs="宋体"/>
          <w:color w:val="auto"/>
          <w:sz w:val="24"/>
          <w:highlight w:val="none"/>
        </w:rPr>
        <w:t>14.2.3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14:paraId="6E4900C6">
      <w:pPr>
        <w:pStyle w:val="3"/>
        <w:spacing w:before="0" w:line="360" w:lineRule="auto"/>
        <w:ind w:left="565" w:leftChars="12" w:hanging="540"/>
        <w:rPr>
          <w:rFonts w:ascii="宋体" w:hAnsi="宋体" w:eastAsia="宋体" w:cs="宋体"/>
          <w:color w:val="auto"/>
          <w:sz w:val="28"/>
          <w:szCs w:val="28"/>
          <w:highlight w:val="none"/>
        </w:rPr>
      </w:pPr>
      <w:bookmarkStart w:id="97" w:name="_Toc515647774"/>
      <w:bookmarkStart w:id="98" w:name="_Toc11179"/>
      <w:bookmarkStart w:id="99" w:name="_Toc799"/>
      <w:bookmarkStart w:id="100" w:name="_Toc520356159"/>
      <w:bookmarkStart w:id="101" w:name="_Toc16865"/>
      <w:bookmarkStart w:id="102" w:name="_Toc216582808"/>
      <w:r>
        <w:rPr>
          <w:rFonts w:hint="eastAsia" w:ascii="宋体" w:hAnsi="宋体" w:eastAsia="宋体" w:cs="宋体"/>
          <w:color w:val="auto"/>
          <w:sz w:val="28"/>
          <w:szCs w:val="28"/>
          <w:highlight w:val="none"/>
        </w:rPr>
        <w:t>四、响应文件的递交</w:t>
      </w:r>
      <w:bookmarkEnd w:id="97"/>
      <w:bookmarkEnd w:id="98"/>
      <w:bookmarkEnd w:id="99"/>
      <w:bookmarkEnd w:id="100"/>
      <w:bookmarkEnd w:id="101"/>
      <w:bookmarkEnd w:id="102"/>
    </w:p>
    <w:p w14:paraId="0090538E">
      <w:pPr>
        <w:pStyle w:val="4"/>
        <w:spacing w:line="360" w:lineRule="auto"/>
        <w:rPr>
          <w:rFonts w:hAnsi="宋体" w:cs="宋体"/>
          <w:color w:val="auto"/>
          <w:highlight w:val="none"/>
        </w:rPr>
      </w:pPr>
    </w:p>
    <w:p w14:paraId="1A5E0EFD">
      <w:pPr>
        <w:pStyle w:val="5"/>
        <w:spacing w:before="0" w:after="0" w:line="360" w:lineRule="auto"/>
        <w:rPr>
          <w:rFonts w:hAnsi="宋体" w:cs="宋体"/>
          <w:color w:val="auto"/>
          <w:highlight w:val="none"/>
          <w:u w:val="none"/>
        </w:rPr>
      </w:pPr>
      <w:bookmarkStart w:id="103" w:name="_Toc515647775"/>
      <w:bookmarkStart w:id="104" w:name="_Toc21645"/>
      <w:bookmarkStart w:id="105" w:name="_Toc32337"/>
      <w:bookmarkStart w:id="106" w:name="_Toc400"/>
      <w:bookmarkStart w:id="107" w:name="_Toc520356160"/>
      <w:r>
        <w:rPr>
          <w:rFonts w:hint="eastAsia" w:hAnsi="宋体" w:cs="宋体"/>
          <w:color w:val="auto"/>
          <w:highlight w:val="none"/>
          <w:u w:val="none"/>
        </w:rPr>
        <w:t>15.响应文件的密封和标记</w:t>
      </w:r>
      <w:bookmarkEnd w:id="103"/>
      <w:bookmarkEnd w:id="104"/>
      <w:bookmarkEnd w:id="105"/>
      <w:bookmarkEnd w:id="106"/>
      <w:bookmarkEnd w:id="107"/>
    </w:p>
    <w:p w14:paraId="0D906BBF">
      <w:pPr>
        <w:spacing w:line="360" w:lineRule="auto"/>
        <w:ind w:left="900" w:hanging="900" w:hangingChars="375"/>
        <w:rPr>
          <w:rFonts w:ascii="宋体" w:hAnsi="宋体" w:cs="宋体"/>
          <w:color w:val="auto"/>
          <w:sz w:val="24"/>
          <w:highlight w:val="none"/>
        </w:rPr>
      </w:pPr>
      <w:bookmarkStart w:id="108" w:name="_Toc12751"/>
      <w:bookmarkStart w:id="109" w:name="_Toc46238229"/>
      <w:bookmarkStart w:id="110" w:name="_Toc520356161"/>
      <w:bookmarkStart w:id="111" w:name="_Toc515647776"/>
      <w:bookmarkStart w:id="112" w:name="_Toc9840"/>
      <w:r>
        <w:rPr>
          <w:rFonts w:hint="eastAsia" w:ascii="宋体" w:hAnsi="宋体" w:cs="宋体"/>
          <w:color w:val="auto"/>
          <w:sz w:val="24"/>
          <w:highlight w:val="none"/>
        </w:rPr>
        <w:t>15.1电子标</w:t>
      </w:r>
    </w:p>
    <w:p w14:paraId="088568E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bCs/>
          <w:color w:val="auto"/>
          <w:sz w:val="24"/>
          <w:highlight w:val="none"/>
        </w:rPr>
      </w:pPr>
      <w:r>
        <w:rPr>
          <w:rFonts w:hint="eastAsia" w:ascii="宋体" w:hAnsi="宋体" w:cs="宋体"/>
          <w:color w:val="auto"/>
          <w:sz w:val="24"/>
          <w:highlight w:val="none"/>
        </w:rPr>
        <w:t>15.1.1本项目实行电子响应文件，供应商无须提交纸质响应文件。供应商应按照本项目竞争性磋商文件的要求编制、加密并递交响应文件。供应商在使用系统进行响应的过程中遇到涉及平台使用的任何问题，可致电平台技术支持热线咨询，</w:t>
      </w:r>
      <w:r>
        <w:rPr>
          <w:rFonts w:ascii="宋体" w:hAnsi="宋体"/>
          <w:b/>
          <w:bCs/>
          <w:color w:val="auto"/>
          <w:sz w:val="24"/>
          <w:highlight w:val="none"/>
        </w:rPr>
        <w:t>咨询电话</w:t>
      </w:r>
      <w:r>
        <w:rPr>
          <w:rFonts w:hint="eastAsia" w:ascii="宋体" w:hAnsi="宋体"/>
          <w:b/>
          <w:bCs/>
          <w:color w:val="auto"/>
          <w:sz w:val="24"/>
          <w:highlight w:val="none"/>
        </w:rPr>
        <w:t>0539-8770</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063</w:t>
      </w:r>
      <w:r>
        <w:rPr>
          <w:rFonts w:hint="eastAsia" w:ascii="宋体" w:hAnsi="宋体" w:cs="宋体"/>
          <w:b/>
          <w:bCs/>
          <w:color w:val="auto"/>
          <w:sz w:val="24"/>
          <w:highlight w:val="none"/>
        </w:rPr>
        <w:t>。</w:t>
      </w:r>
    </w:p>
    <w:p w14:paraId="6B6820AF">
      <w:pPr>
        <w:spacing w:line="360" w:lineRule="auto"/>
        <w:ind w:left="904" w:hanging="904" w:hangingChars="375"/>
        <w:rPr>
          <w:rFonts w:hint="eastAsia" w:ascii="宋体" w:hAnsi="宋体" w:cs="宋体"/>
          <w:b/>
          <w:bCs/>
          <w:color w:val="auto"/>
          <w:sz w:val="24"/>
          <w:highlight w:val="none"/>
        </w:rPr>
      </w:pPr>
      <w:r>
        <w:rPr>
          <w:rFonts w:hint="eastAsia" w:ascii="宋体" w:hAnsi="宋体" w:cs="宋体"/>
          <w:b/>
          <w:bCs/>
          <w:color w:val="auto"/>
          <w:sz w:val="24"/>
          <w:highlight w:val="none"/>
        </w:rPr>
        <w:t>15.1.2各供应商需于投标截止时间之前将加密版（LYTF格式）电子文件上传至临沂</w:t>
      </w:r>
    </w:p>
    <w:p w14:paraId="79D2EFB3">
      <w:pPr>
        <w:spacing w:line="360" w:lineRule="auto"/>
        <w:ind w:left="904" w:hanging="904" w:hangingChars="375"/>
        <w:rPr>
          <w:rFonts w:hint="eastAsia" w:ascii="宋体" w:hAnsi="宋体" w:cs="宋体"/>
          <w:b/>
          <w:bCs/>
          <w:color w:val="auto"/>
          <w:sz w:val="24"/>
          <w:highlight w:val="none"/>
        </w:rPr>
      </w:pPr>
      <w:r>
        <w:rPr>
          <w:rFonts w:hint="eastAsia" w:ascii="宋体" w:hAnsi="宋体" w:cs="宋体"/>
          <w:b/>
          <w:bCs/>
          <w:color w:val="auto"/>
          <w:sz w:val="24"/>
          <w:highlight w:val="none"/>
        </w:rPr>
        <w:t>市公共资源交易系统。参加最后报价的代表应在规定时间内在临沂市公共资源交易系统</w:t>
      </w:r>
    </w:p>
    <w:p w14:paraId="0F93D698">
      <w:pPr>
        <w:spacing w:line="360" w:lineRule="auto"/>
        <w:ind w:left="904" w:hanging="904" w:hangingChars="375"/>
        <w:rPr>
          <w:rFonts w:hint="eastAsia" w:ascii="宋体" w:hAnsi="宋体" w:cs="宋体"/>
          <w:b/>
          <w:bCs/>
          <w:color w:val="auto"/>
          <w:sz w:val="24"/>
          <w:highlight w:val="none"/>
        </w:rPr>
      </w:pPr>
      <w:r>
        <w:rPr>
          <w:rFonts w:hint="eastAsia" w:ascii="宋体" w:hAnsi="宋体" w:cs="宋体"/>
          <w:b/>
          <w:bCs/>
          <w:color w:val="auto"/>
          <w:sz w:val="24"/>
          <w:highlight w:val="none"/>
        </w:rPr>
        <w:t>进行网上在线报价，否则，视为自动放弃最后报价的机会。</w:t>
      </w:r>
    </w:p>
    <w:p w14:paraId="1ABEA329">
      <w:pPr>
        <w:spacing w:line="360" w:lineRule="auto"/>
        <w:ind w:left="904" w:hanging="904" w:hangingChars="375"/>
        <w:rPr>
          <w:rFonts w:hint="eastAsia" w:ascii="宋体" w:hAnsi="宋体" w:cs="宋体"/>
          <w:b/>
          <w:bCs/>
          <w:color w:val="auto"/>
          <w:sz w:val="24"/>
          <w:highlight w:val="none"/>
        </w:rPr>
      </w:pPr>
      <w:r>
        <w:rPr>
          <w:rFonts w:hint="eastAsia" w:ascii="宋体" w:hAnsi="宋体" w:cs="宋体"/>
          <w:b/>
          <w:bCs/>
          <w:color w:val="auto"/>
          <w:sz w:val="24"/>
          <w:highlight w:val="none"/>
        </w:rPr>
        <w:t>15.1.3供应商携带原件（若有）的需要密封后递交，密封格式详见附件</w:t>
      </w:r>
      <w:r>
        <w:rPr>
          <w:rFonts w:hint="eastAsia" w:ascii="宋体" w:hAnsi="宋体" w:cs="宋体"/>
          <w:b/>
          <w:bCs/>
          <w:color w:val="auto"/>
          <w:sz w:val="24"/>
          <w:highlight w:val="none"/>
          <w:lang w:eastAsia="zh-CN"/>
        </w:rPr>
        <w:t>（本项目需提供原件扫描件上传系统，保证内容清晰）</w:t>
      </w:r>
      <w:r>
        <w:rPr>
          <w:rFonts w:hint="eastAsia" w:ascii="宋体" w:hAnsi="宋体" w:cs="宋体"/>
          <w:b/>
          <w:bCs/>
          <w:color w:val="auto"/>
          <w:sz w:val="24"/>
          <w:highlight w:val="none"/>
        </w:rPr>
        <w:t>。</w:t>
      </w:r>
    </w:p>
    <w:p w14:paraId="531D4444">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15.2非电子标</w:t>
      </w:r>
      <w:r>
        <w:rPr>
          <w:rFonts w:hint="eastAsia" w:ascii="宋体" w:hAnsi="宋体" w:cs="宋体"/>
          <w:b/>
          <w:bCs/>
          <w:color w:val="auto"/>
          <w:sz w:val="24"/>
          <w:highlight w:val="none"/>
        </w:rPr>
        <w:t>（本项目不适用）</w:t>
      </w:r>
    </w:p>
    <w:p w14:paraId="43DBEB82">
      <w:pPr>
        <w:spacing w:line="360" w:lineRule="auto"/>
        <w:rPr>
          <w:rFonts w:hint="eastAsia" w:ascii="宋体" w:hAnsi="宋体" w:cs="宋体"/>
          <w:color w:val="auto"/>
          <w:sz w:val="24"/>
          <w:highlight w:val="none"/>
        </w:rPr>
      </w:pPr>
      <w:r>
        <w:rPr>
          <w:rFonts w:hint="eastAsia" w:ascii="宋体" w:hAnsi="宋体" w:cs="宋体"/>
          <w:color w:val="auto"/>
          <w:sz w:val="24"/>
          <w:highlight w:val="none"/>
        </w:rPr>
        <w:t>15.2.1供应商应将响应文件以正本、副本、报价一览表（一式三份）、电子版为单位分别密封，并在密封件上标明密封件内容、项目编号、项目名称、供应商名称、包号等。</w:t>
      </w:r>
    </w:p>
    <w:p w14:paraId="3741EEF7">
      <w:pPr>
        <w:spacing w:line="360" w:lineRule="auto"/>
        <w:rPr>
          <w:rFonts w:ascii="宋体" w:hAnsi="宋体" w:cs="宋体"/>
          <w:color w:val="auto"/>
          <w:sz w:val="24"/>
          <w:highlight w:val="none"/>
        </w:rPr>
      </w:pPr>
      <w:r>
        <w:rPr>
          <w:rFonts w:hint="eastAsia" w:ascii="宋体" w:hAnsi="宋体" w:cs="宋体"/>
          <w:color w:val="auto"/>
          <w:sz w:val="24"/>
          <w:highlight w:val="none"/>
        </w:rPr>
        <w:t>15.2.2供应商将每部分响应文件装入信袋内加以密封后，并在封签处加盖公章或授权代表签字，如无公章或授权代表签字，响应文件将会被拒收。</w:t>
      </w:r>
    </w:p>
    <w:p w14:paraId="7179EBBF">
      <w:pPr>
        <w:spacing w:line="360" w:lineRule="auto"/>
        <w:rPr>
          <w:rFonts w:ascii="宋体" w:hAnsi="宋体" w:cs="宋体"/>
          <w:color w:val="auto"/>
          <w:sz w:val="24"/>
          <w:highlight w:val="none"/>
        </w:rPr>
      </w:pPr>
      <w:r>
        <w:rPr>
          <w:rFonts w:hint="eastAsia" w:ascii="宋体" w:hAnsi="宋体" w:cs="宋体"/>
          <w:color w:val="auto"/>
          <w:sz w:val="24"/>
          <w:highlight w:val="none"/>
        </w:rPr>
        <w:t>15.2.3因供应商对其响应文件密封不当或签署不当而造成响应文件被拒收，由供应商自行负责。</w:t>
      </w:r>
    </w:p>
    <w:p w14:paraId="4B010AC1">
      <w:pPr>
        <w:pStyle w:val="5"/>
        <w:spacing w:before="0" w:after="0" w:line="360" w:lineRule="auto"/>
        <w:rPr>
          <w:rFonts w:hAnsi="宋体" w:cs="宋体"/>
          <w:color w:val="auto"/>
          <w:highlight w:val="none"/>
        </w:rPr>
      </w:pPr>
      <w:bookmarkStart w:id="113" w:name="_Toc543"/>
      <w:r>
        <w:rPr>
          <w:rFonts w:hint="eastAsia" w:hAnsi="宋体" w:cs="宋体"/>
          <w:color w:val="auto"/>
          <w:highlight w:val="none"/>
        </w:rPr>
        <w:t>16.响应文件截止</w:t>
      </w:r>
      <w:bookmarkEnd w:id="108"/>
      <w:bookmarkEnd w:id="109"/>
      <w:bookmarkEnd w:id="110"/>
      <w:bookmarkEnd w:id="111"/>
      <w:bookmarkEnd w:id="112"/>
      <w:bookmarkEnd w:id="113"/>
    </w:p>
    <w:p w14:paraId="0EEDCE63">
      <w:pPr>
        <w:spacing w:line="360" w:lineRule="auto"/>
        <w:ind w:left="900" w:hanging="900" w:hangingChars="375"/>
        <w:rPr>
          <w:rFonts w:ascii="宋体" w:hAnsi="宋体" w:cs="宋体"/>
          <w:color w:val="auto"/>
          <w:sz w:val="24"/>
          <w:highlight w:val="none"/>
        </w:rPr>
      </w:pPr>
      <w:bookmarkStart w:id="114" w:name="_Toc46235089"/>
      <w:bookmarkStart w:id="115" w:name="_Toc520356162"/>
      <w:bookmarkStart w:id="116" w:name="_Toc518923081"/>
      <w:r>
        <w:rPr>
          <w:rFonts w:hint="eastAsia" w:ascii="宋体" w:hAnsi="宋体" w:cs="宋体"/>
          <w:color w:val="auto"/>
          <w:sz w:val="24"/>
          <w:highlight w:val="none"/>
        </w:rPr>
        <w:t>16.1供应商递交响应文件的时间和地点：见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6FEB911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16.2采购人和采购代理机构将拒绝接收在提交响应文件截止时间后递交（上传）的响应</w:t>
      </w:r>
    </w:p>
    <w:p w14:paraId="68DF373B">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文件。</w:t>
      </w:r>
    </w:p>
    <w:p w14:paraId="1EBBF1C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16.3供应商所递交的响应文件不予退还。</w:t>
      </w:r>
    </w:p>
    <w:p w14:paraId="5B866105">
      <w:pPr>
        <w:pStyle w:val="5"/>
        <w:spacing w:line="360" w:lineRule="auto"/>
        <w:rPr>
          <w:rFonts w:hAnsi="宋体" w:cs="宋体"/>
          <w:color w:val="auto"/>
          <w:highlight w:val="none"/>
        </w:rPr>
      </w:pPr>
      <w:bookmarkStart w:id="117" w:name="_Toc5310"/>
      <w:r>
        <w:rPr>
          <w:rFonts w:hint="eastAsia" w:hAnsi="宋体" w:cs="宋体"/>
          <w:color w:val="auto"/>
          <w:highlight w:val="none"/>
        </w:rPr>
        <w:t>17.响应文件的接收、修改与撤回</w:t>
      </w:r>
      <w:bookmarkEnd w:id="114"/>
      <w:bookmarkEnd w:id="115"/>
      <w:bookmarkEnd w:id="116"/>
      <w:bookmarkEnd w:id="117"/>
    </w:p>
    <w:p w14:paraId="6052C17E">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17.1电子标</w:t>
      </w:r>
    </w:p>
    <w:p w14:paraId="3AF02633">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17.1.1采购人或采购代理机构将按竞争性磋商文件的规定接收响应文件。</w:t>
      </w:r>
    </w:p>
    <w:p w14:paraId="5DB52C59">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17.1.2采购人或采购代理机构收到响应文件后，将记载响应文件的递交时间和密封</w:t>
      </w:r>
    </w:p>
    <w:p w14:paraId="05E3704F">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情况，在</w:t>
      </w:r>
      <w:r>
        <w:rPr>
          <w:rFonts w:hint="eastAsia" w:ascii="宋体" w:hAnsi="宋体" w:cs="宋体"/>
          <w:b/>
          <w:bCs/>
          <w:color w:val="auto"/>
          <w:sz w:val="24"/>
          <w:highlight w:val="none"/>
          <w:u w:val="single"/>
        </w:rPr>
        <w:t>临沂市公共资源</w:t>
      </w:r>
      <w:r>
        <w:rPr>
          <w:rFonts w:hint="eastAsia" w:ascii="宋体" w:hAnsi="宋体" w:cs="宋体"/>
          <w:b/>
          <w:bCs/>
          <w:color w:val="auto"/>
          <w:sz w:val="24"/>
          <w:highlight w:val="none"/>
        </w:rPr>
        <w:t>电子交易系统中生成回执，供应商自行查看、打印。</w:t>
      </w:r>
    </w:p>
    <w:p w14:paraId="64640825">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17.1.3递交响应文件以后，如果供应商要进行撤回的，须在提交响应文件截止时间前在</w:t>
      </w:r>
      <w:r>
        <w:rPr>
          <w:rFonts w:hint="eastAsia" w:ascii="宋体" w:hAnsi="宋体" w:cs="宋体"/>
          <w:b/>
          <w:bCs/>
          <w:color w:val="auto"/>
          <w:sz w:val="24"/>
          <w:highlight w:val="none"/>
          <w:u w:val="single"/>
        </w:rPr>
        <w:t>临沂市公共资源</w:t>
      </w:r>
      <w:r>
        <w:rPr>
          <w:rFonts w:hint="eastAsia" w:ascii="宋体" w:hAnsi="宋体" w:cs="宋体"/>
          <w:b/>
          <w:bCs/>
          <w:color w:val="auto"/>
          <w:sz w:val="24"/>
          <w:highlight w:val="none"/>
        </w:rPr>
        <w:t>电子交易系统中进行撤回。</w:t>
      </w:r>
    </w:p>
    <w:p w14:paraId="6EC8705F">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17.1.4如果在提交响应文件截止时间前需要对已经成功生成并上传</w:t>
      </w:r>
      <w:r>
        <w:rPr>
          <w:rFonts w:hint="eastAsia" w:ascii="宋体" w:hAnsi="宋体" w:cs="宋体"/>
          <w:b/>
          <w:bCs/>
          <w:color w:val="auto"/>
          <w:sz w:val="24"/>
          <w:highlight w:val="none"/>
          <w:u w:val="single"/>
        </w:rPr>
        <w:t>临沂市公共资源</w:t>
      </w:r>
      <w:r>
        <w:rPr>
          <w:rFonts w:hint="eastAsia" w:ascii="宋体" w:hAnsi="宋体" w:cs="宋体"/>
          <w:b/>
          <w:bCs/>
          <w:color w:val="auto"/>
          <w:sz w:val="24"/>
          <w:highlight w:val="none"/>
        </w:rPr>
        <w:t>电子交易系统的电子响应文件进行修改、补充的，供应商应当先撤回原文件，使用自备计算机和响应文件制作软件重新制作生成新的电子响应文件，并在提交响应文件截止时间前重新上传。</w:t>
      </w:r>
    </w:p>
    <w:p w14:paraId="58894C4B">
      <w:pPr>
        <w:pStyle w:val="7"/>
        <w:spacing w:line="360" w:lineRule="auto"/>
        <w:rPr>
          <w:rFonts w:hint="eastAsia" w:cs="宋体"/>
          <w:b/>
          <w:bCs/>
          <w:color w:val="auto"/>
          <w:highlight w:val="none"/>
        </w:rPr>
      </w:pPr>
      <w:r>
        <w:rPr>
          <w:rFonts w:hint="eastAsia" w:cs="宋体"/>
          <w:b/>
          <w:bCs/>
          <w:color w:val="auto"/>
          <w:highlight w:val="none"/>
        </w:rPr>
        <w:t>17.1.5在提交响应文件截止时间之后，供应商不得对其响应文件做任何修改。</w:t>
      </w:r>
    </w:p>
    <w:p w14:paraId="17259EDE">
      <w:pPr>
        <w:pStyle w:val="7"/>
        <w:spacing w:line="360" w:lineRule="auto"/>
        <w:rPr>
          <w:rFonts w:hint="eastAsia" w:cs="宋体"/>
          <w:snapToGrid w:val="0"/>
          <w:color w:val="auto"/>
          <w:highlight w:val="none"/>
          <w:lang w:eastAsia="zh-CN"/>
        </w:rPr>
      </w:pPr>
      <w:r>
        <w:rPr>
          <w:rFonts w:hint="eastAsia" w:cs="宋体"/>
          <w:snapToGrid w:val="0"/>
          <w:color w:val="auto"/>
          <w:highlight w:val="none"/>
        </w:rPr>
        <w:t>17.2非电子标</w:t>
      </w:r>
      <w:r>
        <w:rPr>
          <w:rFonts w:hint="eastAsia" w:cs="宋体"/>
          <w:snapToGrid w:val="0"/>
          <w:color w:val="auto"/>
          <w:highlight w:val="none"/>
          <w:lang w:eastAsia="zh-CN"/>
        </w:rPr>
        <w:t>（</w:t>
      </w:r>
      <w:r>
        <w:rPr>
          <w:rFonts w:hint="eastAsia" w:cs="宋体"/>
          <w:snapToGrid w:val="0"/>
          <w:color w:val="auto"/>
          <w:highlight w:val="none"/>
          <w:lang w:val="en-US" w:eastAsia="zh-CN"/>
        </w:rPr>
        <w:t>本项目不适用</w:t>
      </w:r>
      <w:r>
        <w:rPr>
          <w:rFonts w:hint="eastAsia" w:cs="宋体"/>
          <w:snapToGrid w:val="0"/>
          <w:color w:val="auto"/>
          <w:highlight w:val="none"/>
          <w:lang w:eastAsia="zh-CN"/>
        </w:rPr>
        <w:t>）</w:t>
      </w:r>
    </w:p>
    <w:p w14:paraId="594F5BFB">
      <w:pPr>
        <w:pStyle w:val="7"/>
        <w:spacing w:line="360" w:lineRule="auto"/>
        <w:rPr>
          <w:rFonts w:cs="宋体"/>
          <w:snapToGrid w:val="0"/>
          <w:color w:val="auto"/>
          <w:highlight w:val="none"/>
        </w:rPr>
      </w:pPr>
      <w:r>
        <w:rPr>
          <w:rFonts w:hint="eastAsia" w:cs="宋体"/>
          <w:snapToGrid w:val="0"/>
          <w:color w:val="auto"/>
          <w:highlight w:val="none"/>
        </w:rPr>
        <w:t>17.2.1供应商在</w:t>
      </w:r>
      <w:r>
        <w:rPr>
          <w:rFonts w:hint="eastAsia" w:cs="宋体"/>
          <w:snapToGrid w:val="0"/>
          <w:color w:val="auto"/>
          <w:highlight w:val="none"/>
          <w:lang w:eastAsia="zh-CN"/>
        </w:rPr>
        <w:t>磋商</w:t>
      </w:r>
      <w:r>
        <w:rPr>
          <w:rFonts w:hint="eastAsia" w:cs="宋体"/>
          <w:snapToGrid w:val="0"/>
          <w:color w:val="auto"/>
          <w:highlight w:val="none"/>
        </w:rPr>
        <w:t>文件要求提交响应文件的截止时间前，可以修改或者撤回已提交的响应文件，并书面形式通知代理机构。</w:t>
      </w:r>
    </w:p>
    <w:p w14:paraId="7643A101">
      <w:pPr>
        <w:pStyle w:val="7"/>
        <w:spacing w:line="360" w:lineRule="auto"/>
        <w:rPr>
          <w:rFonts w:cs="宋体"/>
          <w:snapToGrid w:val="0"/>
          <w:color w:val="auto"/>
          <w:highlight w:val="none"/>
        </w:rPr>
      </w:pPr>
      <w:r>
        <w:rPr>
          <w:rFonts w:hint="eastAsia" w:cs="宋体"/>
          <w:snapToGrid w:val="0"/>
          <w:color w:val="auto"/>
          <w:highlight w:val="none"/>
        </w:rPr>
        <w:t>17.2.2任何修改内容必须由供应商的法定代表人或其委托代理人签字，不得涂抹。经法定代表人或其委托代理人正式签署的修改文件组成响应文件的一部分，份数和密封要求同响应文件一致。</w:t>
      </w:r>
    </w:p>
    <w:p w14:paraId="7132DDB7">
      <w:pPr>
        <w:spacing w:line="360" w:lineRule="auto"/>
        <w:rPr>
          <w:rFonts w:ascii="宋体" w:hAnsi="宋体" w:cs="宋体"/>
          <w:color w:val="auto"/>
          <w:highlight w:val="none"/>
        </w:rPr>
      </w:pPr>
      <w:r>
        <w:rPr>
          <w:rFonts w:hint="eastAsia" w:ascii="宋体" w:hAnsi="宋体" w:cs="宋体"/>
          <w:snapToGrid w:val="0"/>
          <w:color w:val="auto"/>
          <w:sz w:val="24"/>
          <w:highlight w:val="none"/>
        </w:rPr>
        <w:t>17.2.3磋商有效期内不得撤回，否则其磋商保证金不予退还（若有）</w:t>
      </w:r>
      <w:r>
        <w:rPr>
          <w:rFonts w:hint="eastAsia" w:ascii="宋体" w:hAnsi="宋体" w:cs="宋体"/>
          <w:snapToGrid w:val="0"/>
          <w:color w:val="auto"/>
          <w:highlight w:val="none"/>
        </w:rPr>
        <w:t>。</w:t>
      </w:r>
    </w:p>
    <w:p w14:paraId="3FCB2A18">
      <w:pPr>
        <w:pStyle w:val="3"/>
        <w:spacing w:before="0" w:line="360" w:lineRule="auto"/>
        <w:ind w:left="565" w:leftChars="12" w:hanging="540"/>
        <w:rPr>
          <w:rFonts w:hint="eastAsia" w:ascii="宋体" w:hAnsi="宋体" w:eastAsia="宋体" w:cs="宋体"/>
          <w:color w:val="auto"/>
          <w:sz w:val="28"/>
          <w:szCs w:val="28"/>
          <w:highlight w:val="none"/>
        </w:rPr>
      </w:pPr>
      <w:bookmarkStart w:id="118" w:name="_Toc216582809"/>
      <w:bookmarkStart w:id="119" w:name="_Toc12436"/>
      <w:bookmarkStart w:id="120" w:name="_Toc18477"/>
      <w:bookmarkStart w:id="121" w:name="_Toc520356163"/>
      <w:bookmarkStart w:id="122" w:name="_Toc28398"/>
      <w:bookmarkStart w:id="123" w:name="_Toc515647778"/>
      <w:r>
        <w:rPr>
          <w:rFonts w:hint="eastAsia" w:ascii="宋体" w:hAnsi="宋体" w:eastAsia="宋体" w:cs="宋体"/>
          <w:color w:val="auto"/>
          <w:sz w:val="28"/>
          <w:szCs w:val="28"/>
          <w:highlight w:val="none"/>
        </w:rPr>
        <w:t>五、提交响应文件截止及</w:t>
      </w:r>
      <w:bookmarkEnd w:id="118"/>
      <w:bookmarkEnd w:id="119"/>
      <w:bookmarkEnd w:id="120"/>
      <w:bookmarkEnd w:id="121"/>
      <w:bookmarkEnd w:id="122"/>
      <w:bookmarkEnd w:id="123"/>
      <w:r>
        <w:rPr>
          <w:rFonts w:hint="eastAsia" w:ascii="宋体" w:hAnsi="宋体" w:eastAsia="宋体" w:cs="宋体"/>
          <w:color w:val="auto"/>
          <w:sz w:val="28"/>
          <w:szCs w:val="28"/>
          <w:highlight w:val="none"/>
        </w:rPr>
        <w:t>磋商</w:t>
      </w:r>
    </w:p>
    <w:p w14:paraId="7F797AE9">
      <w:pPr>
        <w:pStyle w:val="5"/>
        <w:numPr>
          <w:ilvl w:val="0"/>
          <w:numId w:val="2"/>
        </w:numPr>
        <w:spacing w:line="360" w:lineRule="auto"/>
        <w:rPr>
          <w:rFonts w:hAnsi="宋体" w:cs="宋体"/>
          <w:color w:val="auto"/>
          <w:szCs w:val="24"/>
          <w:highlight w:val="none"/>
        </w:rPr>
      </w:pPr>
      <w:bookmarkStart w:id="124" w:name="_Toc13167"/>
      <w:r>
        <w:rPr>
          <w:rFonts w:hint="eastAsia" w:hAnsi="宋体" w:cs="宋体"/>
          <w:color w:val="auto"/>
          <w:szCs w:val="24"/>
          <w:highlight w:val="none"/>
          <w:u w:val="none"/>
        </w:rPr>
        <w:t>提交响应文件截止</w:t>
      </w:r>
      <w:bookmarkEnd w:id="124"/>
    </w:p>
    <w:p w14:paraId="3DB1DE24">
      <w:pPr>
        <w:spacing w:line="360" w:lineRule="auto"/>
        <w:rPr>
          <w:rFonts w:ascii="宋体" w:hAnsi="宋体" w:cs="宋体"/>
          <w:color w:val="auto"/>
          <w:sz w:val="24"/>
          <w:highlight w:val="none"/>
        </w:rPr>
      </w:pPr>
      <w:bookmarkStart w:id="125" w:name="_Toc520356165"/>
      <w:bookmarkStart w:id="126" w:name="_Toc19296"/>
      <w:bookmarkStart w:id="127" w:name="_Toc515647780"/>
      <w:bookmarkStart w:id="128" w:name="_Toc21372"/>
      <w:r>
        <w:rPr>
          <w:rFonts w:hint="eastAsia" w:ascii="宋体" w:hAnsi="宋体" w:cs="宋体"/>
          <w:color w:val="auto"/>
          <w:sz w:val="24"/>
          <w:highlight w:val="none"/>
        </w:rPr>
        <w:t>18.1.1采购人和采购代理机构将按磋商文件规定的提交响应文件截止时间和地点组织提交响应文件截止，提交响应文件截止过程在</w:t>
      </w:r>
      <w:r>
        <w:rPr>
          <w:rFonts w:hint="eastAsia" w:ascii="宋体" w:hAnsi="宋体" w:cs="宋体"/>
          <w:b/>
          <w:color w:val="auto"/>
          <w:sz w:val="24"/>
          <w:highlight w:val="none"/>
          <w:u w:val="single"/>
        </w:rPr>
        <w:t>临沂市公共资源</w:t>
      </w:r>
      <w:r>
        <w:rPr>
          <w:rFonts w:hint="eastAsia" w:ascii="宋体" w:hAnsi="宋体" w:cs="宋体"/>
          <w:b/>
          <w:bCs/>
          <w:snapToGrid w:val="0"/>
          <w:color w:val="auto"/>
          <w:sz w:val="24"/>
          <w:highlight w:val="none"/>
        </w:rPr>
        <w:t>电子交易系统</w:t>
      </w:r>
      <w:r>
        <w:rPr>
          <w:rFonts w:hint="eastAsia" w:ascii="宋体" w:hAnsi="宋体" w:cs="宋体"/>
          <w:bCs/>
          <w:color w:val="auto"/>
          <w:sz w:val="24"/>
          <w:highlight w:val="none"/>
        </w:rPr>
        <w:t>上进行</w:t>
      </w:r>
      <w:r>
        <w:rPr>
          <w:rFonts w:hint="eastAsia" w:ascii="宋体" w:hAnsi="宋体" w:cs="宋体"/>
          <w:color w:val="auto"/>
          <w:sz w:val="24"/>
          <w:highlight w:val="none"/>
        </w:rPr>
        <w:t>。</w:t>
      </w:r>
    </w:p>
    <w:p w14:paraId="3BF7A150">
      <w:pPr>
        <w:spacing w:line="360" w:lineRule="auto"/>
        <w:rPr>
          <w:rFonts w:ascii="宋体" w:hAnsi="宋体" w:cs="宋体"/>
          <w:color w:val="auto"/>
          <w:sz w:val="24"/>
          <w:highlight w:val="none"/>
        </w:rPr>
      </w:pPr>
      <w:r>
        <w:rPr>
          <w:rFonts w:hint="eastAsia" w:ascii="宋体" w:hAnsi="宋体" w:cs="宋体"/>
          <w:color w:val="auto"/>
          <w:sz w:val="24"/>
          <w:highlight w:val="none"/>
        </w:rPr>
        <w:t>供应商不足3家的，不得提交响应文件截止。</w:t>
      </w:r>
    </w:p>
    <w:p w14:paraId="2C086A06">
      <w:pPr>
        <w:spacing w:line="360" w:lineRule="auto"/>
        <w:rPr>
          <w:rFonts w:ascii="宋体" w:hAnsi="宋体" w:cs="宋体"/>
          <w:color w:val="auto"/>
          <w:sz w:val="24"/>
          <w:highlight w:val="none"/>
        </w:rPr>
      </w:pPr>
      <w:r>
        <w:rPr>
          <w:rFonts w:hint="eastAsia" w:ascii="宋体" w:hAnsi="宋体" w:cs="宋体"/>
          <w:color w:val="auto"/>
          <w:sz w:val="24"/>
          <w:highlight w:val="none"/>
        </w:rPr>
        <w:t>18.1.2提交响应文件截止时，工作人员在</w:t>
      </w:r>
      <w:r>
        <w:rPr>
          <w:rFonts w:hint="eastAsia" w:ascii="宋体" w:hAnsi="宋体" w:cs="宋体"/>
          <w:b/>
          <w:color w:val="auto"/>
          <w:sz w:val="24"/>
          <w:highlight w:val="none"/>
          <w:u w:val="single"/>
        </w:rPr>
        <w:t>临沂市公共资源</w:t>
      </w:r>
      <w:r>
        <w:rPr>
          <w:rFonts w:hint="eastAsia" w:ascii="宋体" w:hAnsi="宋体" w:cs="宋体"/>
          <w:b/>
          <w:bCs/>
          <w:snapToGrid w:val="0"/>
          <w:color w:val="auto"/>
          <w:sz w:val="24"/>
          <w:highlight w:val="none"/>
        </w:rPr>
        <w:t>电子交易系统</w:t>
      </w:r>
      <w:r>
        <w:rPr>
          <w:rFonts w:hint="eastAsia" w:ascii="宋体" w:hAnsi="宋体" w:cs="宋体"/>
          <w:color w:val="auto"/>
          <w:sz w:val="24"/>
          <w:highlight w:val="none"/>
        </w:rPr>
        <w:t>中公布供应商后，</w:t>
      </w:r>
      <w:r>
        <w:rPr>
          <w:rFonts w:hint="eastAsia" w:ascii="宋体" w:hAnsi="宋体" w:cs="宋体"/>
          <w:b/>
          <w:bCs/>
          <w:color w:val="auto"/>
          <w:sz w:val="24"/>
          <w:highlight w:val="none"/>
        </w:rPr>
        <w:t>由供应商自行在电子系统中</w:t>
      </w:r>
      <w:r>
        <w:rPr>
          <w:rFonts w:hint="eastAsia" w:ascii="宋体" w:hAnsi="宋体"/>
          <w:b/>
          <w:bCs/>
          <w:snapToGrid w:val="0"/>
          <w:color w:val="auto"/>
          <w:sz w:val="24"/>
          <w:highlight w:val="none"/>
        </w:rPr>
        <w:t>进行响应文件解密</w:t>
      </w:r>
      <w:r>
        <w:rPr>
          <w:rFonts w:hint="eastAsia" w:ascii="宋体" w:hAnsi="宋体" w:cs="宋体"/>
          <w:color w:val="auto"/>
          <w:sz w:val="24"/>
          <w:highlight w:val="none"/>
        </w:rPr>
        <w:t>，解密完成后，系统予以公开唱标。</w:t>
      </w:r>
    </w:p>
    <w:p w14:paraId="51DAED3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未能成功解密或未进行解密的响应文件将被退回。</w:t>
      </w:r>
    </w:p>
    <w:p w14:paraId="15620D2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18．2非电子标（本项目不适用）</w:t>
      </w:r>
    </w:p>
    <w:p w14:paraId="2BD2682A">
      <w:pPr>
        <w:spacing w:line="360" w:lineRule="auto"/>
        <w:rPr>
          <w:rFonts w:ascii="宋体" w:hAnsi="宋体" w:cs="宋体"/>
          <w:color w:val="auto"/>
          <w:sz w:val="24"/>
          <w:highlight w:val="none"/>
        </w:rPr>
      </w:pPr>
      <w:r>
        <w:rPr>
          <w:rFonts w:hint="eastAsia" w:ascii="宋体" w:hAnsi="宋体" w:cs="宋体"/>
          <w:color w:val="auto"/>
          <w:sz w:val="24"/>
          <w:highlight w:val="none"/>
        </w:rPr>
        <w:t>18</w:t>
      </w:r>
      <w:r>
        <w:rPr>
          <w:rFonts w:hint="eastAsia" w:ascii="宋体" w:hAnsi="宋体" w:cs="宋体"/>
          <w:b/>
          <w:bCs/>
          <w:snapToGrid w:val="0"/>
          <w:color w:val="auto"/>
          <w:sz w:val="24"/>
          <w:highlight w:val="none"/>
        </w:rPr>
        <w:t>.2</w:t>
      </w:r>
      <w:r>
        <w:rPr>
          <w:rFonts w:hint="eastAsia" w:ascii="宋体" w:hAnsi="宋体" w:cs="宋体"/>
          <w:color w:val="auto"/>
          <w:sz w:val="24"/>
          <w:highlight w:val="none"/>
        </w:rPr>
        <w:t>.1采购人或采购代理机构按照供应商须知资料表规定的时间和地点召开会议。届时请供应商派代表参加，参加会议的代表应签名报到以证明其出席，否则，责任自负。如在响应文件递交截止时间递交响应文件的供应商少于三家，采购代理机构有采取重新采购的权力，且不承担任何费用和责任。</w:t>
      </w:r>
    </w:p>
    <w:p w14:paraId="5226174B">
      <w:pPr>
        <w:pStyle w:val="7"/>
        <w:spacing w:line="360" w:lineRule="auto"/>
        <w:rPr>
          <w:rFonts w:cs="宋体"/>
          <w:snapToGrid w:val="0"/>
          <w:color w:val="auto"/>
          <w:highlight w:val="none"/>
        </w:rPr>
      </w:pPr>
      <w:r>
        <w:rPr>
          <w:rFonts w:hint="eastAsia" w:cs="宋体"/>
          <w:b/>
          <w:bCs/>
          <w:snapToGrid w:val="0"/>
          <w:color w:val="auto"/>
          <w:highlight w:val="none"/>
        </w:rPr>
        <w:t>18.2.2</w:t>
      </w:r>
      <w:r>
        <w:rPr>
          <w:rFonts w:hint="eastAsia" w:cs="宋体"/>
          <w:b/>
          <w:bCs/>
          <w:snapToGrid w:val="0"/>
          <w:color w:val="auto"/>
          <w:highlight w:val="none"/>
          <w:lang w:eastAsia="zh-CN"/>
        </w:rPr>
        <w:t>磋商</w:t>
      </w:r>
      <w:r>
        <w:rPr>
          <w:rFonts w:hint="eastAsia" w:cs="宋体"/>
          <w:b/>
          <w:bCs/>
          <w:snapToGrid w:val="0"/>
          <w:color w:val="auto"/>
          <w:highlight w:val="none"/>
        </w:rPr>
        <w:t>截止时间后，不允许对响应文件做实质性修改，同时采购人和采购代理机构对所接收响应文件概不退回。</w:t>
      </w:r>
    </w:p>
    <w:p w14:paraId="07F5C24C">
      <w:pPr>
        <w:pStyle w:val="5"/>
        <w:spacing w:line="360" w:lineRule="auto"/>
        <w:rPr>
          <w:rFonts w:hAnsi="宋体" w:cs="宋体"/>
          <w:color w:val="auto"/>
          <w:highlight w:val="none"/>
        </w:rPr>
      </w:pPr>
      <w:bookmarkStart w:id="129" w:name="_Toc411637993"/>
      <w:bookmarkStart w:id="130" w:name="_Toc19116"/>
      <w:r>
        <w:rPr>
          <w:rFonts w:hint="eastAsia" w:hAnsi="宋体" w:cs="宋体"/>
          <w:color w:val="auto"/>
          <w:highlight w:val="none"/>
        </w:rPr>
        <w:t>19.磋商小组</w:t>
      </w:r>
      <w:bookmarkEnd w:id="129"/>
      <w:bookmarkEnd w:id="130"/>
    </w:p>
    <w:p w14:paraId="7C5CE7A2">
      <w:pPr>
        <w:spacing w:line="360" w:lineRule="auto"/>
        <w:rPr>
          <w:rFonts w:ascii="宋体" w:hAnsi="宋体" w:cs="宋体"/>
          <w:color w:val="auto"/>
          <w:sz w:val="24"/>
          <w:highlight w:val="none"/>
        </w:rPr>
      </w:pPr>
      <w:r>
        <w:rPr>
          <w:rFonts w:hint="eastAsia" w:ascii="宋体" w:hAnsi="宋体" w:cs="宋体"/>
          <w:color w:val="auto"/>
          <w:sz w:val="24"/>
          <w:highlight w:val="none"/>
        </w:rPr>
        <w:t>19.1采购代理机构将按照《中华人民共和国政府采购法》及有关规定组建磋商小组。磋商小组由采购人代表及有关经济、技术等方面的专家3人以上单数组成。</w:t>
      </w:r>
    </w:p>
    <w:p w14:paraId="54DADD98">
      <w:pPr>
        <w:spacing w:line="360" w:lineRule="auto"/>
        <w:rPr>
          <w:rFonts w:ascii="宋体" w:hAnsi="宋体" w:cs="宋体"/>
          <w:color w:val="auto"/>
          <w:sz w:val="24"/>
          <w:highlight w:val="none"/>
        </w:rPr>
      </w:pPr>
      <w:r>
        <w:rPr>
          <w:rFonts w:hint="eastAsia" w:ascii="宋体" w:hAnsi="宋体" w:cs="宋体"/>
          <w:color w:val="auto"/>
          <w:sz w:val="24"/>
          <w:highlight w:val="none"/>
        </w:rPr>
        <w:t>19.2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14:paraId="5148834C">
      <w:pPr>
        <w:spacing w:line="360" w:lineRule="auto"/>
        <w:rPr>
          <w:rFonts w:ascii="宋体" w:hAnsi="宋体" w:cs="宋体"/>
          <w:color w:val="auto"/>
          <w:sz w:val="24"/>
          <w:highlight w:val="none"/>
        </w:rPr>
      </w:pPr>
      <w:r>
        <w:rPr>
          <w:rFonts w:hint="eastAsia" w:ascii="宋体" w:hAnsi="宋体" w:cs="宋体"/>
          <w:color w:val="auto"/>
          <w:sz w:val="24"/>
          <w:highlight w:val="none"/>
        </w:rPr>
        <w:t>19.3磋商小组的职责：</w:t>
      </w:r>
    </w:p>
    <w:p w14:paraId="09AA65C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（1）审查响应文件是否符合磋商文件要求；</w:t>
      </w:r>
    </w:p>
    <w:p w14:paraId="32A7C58B">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（2）要求供应商对响应文件有关事项做出解释或者澄清；</w:t>
      </w:r>
    </w:p>
    <w:p w14:paraId="15F6A601">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（3）按照磋商文件规定的评分标准进行评比和打分；</w:t>
      </w:r>
    </w:p>
    <w:p w14:paraId="6D1D927B">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（4）推荐成交候选供应商名单，或者受采购人委托按照事先确定的办法直接确定成交供应商；</w:t>
      </w:r>
    </w:p>
    <w:p w14:paraId="3787BCB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（5）向采购单位或者有关部门报告非法干预评审工作的行为。</w:t>
      </w:r>
    </w:p>
    <w:p w14:paraId="4B7D272D">
      <w:pPr>
        <w:spacing w:line="360" w:lineRule="auto"/>
        <w:rPr>
          <w:rFonts w:ascii="宋体" w:hAnsi="宋体" w:cs="宋体"/>
          <w:color w:val="auto"/>
          <w:sz w:val="24"/>
          <w:highlight w:val="none"/>
        </w:rPr>
      </w:pPr>
      <w:r>
        <w:rPr>
          <w:rFonts w:hint="eastAsia" w:ascii="宋体" w:hAnsi="宋体" w:cs="宋体"/>
          <w:color w:val="auto"/>
          <w:sz w:val="24"/>
          <w:highlight w:val="none"/>
        </w:rPr>
        <w:t>19.4磋商小组的义务：</w:t>
      </w:r>
    </w:p>
    <w:p w14:paraId="032C692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（1）遵纪守法，客观、公正、廉洁地履行职责；</w:t>
      </w:r>
    </w:p>
    <w:p w14:paraId="648CD8B6">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（2）按照磋商文件规定的评审办法和评审标准进行评审，对评审意见承担个人责任；</w:t>
      </w:r>
    </w:p>
    <w:p w14:paraId="0348A001">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（3）对评审过程和结果，以及供应商的商业秘密保密；</w:t>
      </w:r>
    </w:p>
    <w:p w14:paraId="1172490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（4）参与评审报告的起草；</w:t>
      </w:r>
    </w:p>
    <w:p w14:paraId="16CF73D2">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（5）配合财政部门的投诉处理工作；</w:t>
      </w:r>
    </w:p>
    <w:p w14:paraId="4C87D48F">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（6）配合采购单位答复与会供应商提出的质疑。</w:t>
      </w:r>
    </w:p>
    <w:p w14:paraId="26140674">
      <w:pPr>
        <w:pStyle w:val="5"/>
        <w:spacing w:before="0" w:after="0" w:line="360" w:lineRule="auto"/>
        <w:rPr>
          <w:rFonts w:hAnsi="宋体" w:cs="宋体"/>
          <w:color w:val="auto"/>
          <w:szCs w:val="24"/>
          <w:highlight w:val="none"/>
          <w:u w:val="none"/>
        </w:rPr>
      </w:pPr>
      <w:bookmarkStart w:id="131" w:name="_Toc31959"/>
      <w:r>
        <w:rPr>
          <w:rFonts w:hint="eastAsia" w:hAnsi="宋体" w:cs="宋体"/>
          <w:color w:val="auto"/>
          <w:szCs w:val="24"/>
          <w:highlight w:val="none"/>
          <w:u w:val="none"/>
        </w:rPr>
        <w:t>20.</w:t>
      </w:r>
      <w:bookmarkEnd w:id="125"/>
      <w:r>
        <w:rPr>
          <w:rFonts w:hint="eastAsia" w:hAnsi="宋体" w:cs="宋体"/>
          <w:color w:val="auto"/>
          <w:szCs w:val="24"/>
          <w:highlight w:val="none"/>
          <w:u w:val="none"/>
        </w:rPr>
        <w:t>资格审查</w:t>
      </w:r>
      <w:bookmarkEnd w:id="126"/>
      <w:bookmarkEnd w:id="127"/>
      <w:bookmarkEnd w:id="128"/>
      <w:bookmarkEnd w:id="131"/>
    </w:p>
    <w:p w14:paraId="72ADF27A">
      <w:pPr>
        <w:spacing w:line="360" w:lineRule="auto"/>
        <w:ind w:left="960" w:hanging="960" w:hangingChars="400"/>
        <w:rPr>
          <w:rFonts w:hint="eastAsia" w:ascii="宋体" w:hAnsi="宋体" w:cs="宋体"/>
          <w:color w:val="auto"/>
          <w:sz w:val="24"/>
          <w:highlight w:val="none"/>
        </w:rPr>
      </w:pPr>
      <w:bookmarkStart w:id="132" w:name="_Toc520356166"/>
      <w:bookmarkStart w:id="133" w:name="_Toc19949"/>
      <w:bookmarkStart w:id="134" w:name="_Toc515647781"/>
      <w:bookmarkStart w:id="135" w:name="_Toc28479"/>
      <w:r>
        <w:rPr>
          <w:rFonts w:hint="eastAsia" w:ascii="宋体" w:hAnsi="宋体" w:cs="宋体"/>
          <w:color w:val="auto"/>
          <w:sz w:val="24"/>
          <w:highlight w:val="none"/>
        </w:rPr>
        <w:t>20.1磋商小组依据法律法规和竞争性磋商文件中规定的内容，对供应商的资格进行审</w:t>
      </w:r>
    </w:p>
    <w:p w14:paraId="32C165F6">
      <w:pPr>
        <w:spacing w:line="360" w:lineRule="auto"/>
        <w:ind w:left="960" w:hanging="960" w:hangingChars="400"/>
        <w:rPr>
          <w:rFonts w:hint="eastAsia" w:ascii="宋体" w:hAnsi="宋体" w:cs="宋体"/>
          <w:color w:val="auto"/>
          <w:sz w:val="24"/>
          <w:highlight w:val="none"/>
        </w:rPr>
      </w:pPr>
      <w:r>
        <w:rPr>
          <w:rFonts w:hint="eastAsia" w:ascii="宋体" w:hAnsi="宋体" w:cs="宋体"/>
          <w:color w:val="auto"/>
          <w:sz w:val="24"/>
          <w:highlight w:val="none"/>
        </w:rPr>
        <w:t>查。未通过资格审查的供应商不进入磋商；通过资格审查的供应商不足3家的，不得磋</w:t>
      </w:r>
    </w:p>
    <w:p w14:paraId="1F2A1D9D">
      <w:pPr>
        <w:spacing w:line="360" w:lineRule="auto"/>
        <w:ind w:left="960" w:hanging="960" w:hangingChars="400"/>
        <w:rPr>
          <w:rFonts w:ascii="宋体" w:hAnsi="宋体" w:cs="宋体"/>
          <w:color w:val="auto"/>
          <w:sz w:val="24"/>
          <w:highlight w:val="none"/>
        </w:rPr>
      </w:pPr>
      <w:r>
        <w:rPr>
          <w:rFonts w:hint="eastAsia" w:ascii="宋体" w:hAnsi="宋体" w:cs="宋体"/>
          <w:color w:val="auto"/>
          <w:sz w:val="24"/>
          <w:highlight w:val="none"/>
        </w:rPr>
        <w:t>商。</w:t>
      </w:r>
    </w:p>
    <w:p w14:paraId="75A9E69E">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20.2采购人</w:t>
      </w:r>
      <w:r>
        <w:rPr>
          <w:rFonts w:hint="eastAsia" w:ascii="宋体" w:hAnsi="宋体" w:cs="宋体"/>
          <w:b/>
          <w:bCs/>
          <w:color w:val="auto"/>
          <w:sz w:val="24"/>
          <w:highlight w:val="none"/>
        </w:rPr>
        <w:t>或采购代理机构</w:t>
      </w:r>
      <w:r>
        <w:rPr>
          <w:rFonts w:hint="eastAsia" w:ascii="宋体" w:hAnsi="宋体" w:cs="宋体"/>
          <w:color w:val="auto"/>
          <w:sz w:val="24"/>
          <w:highlight w:val="none"/>
        </w:rPr>
        <w:t>将按</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查询供应商的信用记录。</w:t>
      </w:r>
    </w:p>
    <w:p w14:paraId="3074B980">
      <w:pPr>
        <w:spacing w:line="360" w:lineRule="auto"/>
        <w:ind w:left="857" w:leftChars="2" w:hanging="853"/>
        <w:jc w:val="left"/>
        <w:rPr>
          <w:rFonts w:hint="eastAsia" w:ascii="宋体" w:hAnsi="宋体" w:cs="宋体"/>
          <w:color w:val="auto"/>
          <w:sz w:val="24"/>
          <w:highlight w:val="none"/>
        </w:rPr>
      </w:pPr>
      <w:r>
        <w:rPr>
          <w:rFonts w:hint="eastAsia" w:ascii="宋体" w:hAnsi="宋体" w:cs="宋体"/>
          <w:color w:val="auto"/>
          <w:sz w:val="24"/>
          <w:highlight w:val="none"/>
        </w:rPr>
        <w:t>20.2.1供应商在中国政府采购网（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Style w:val="22"/>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）被列入政府采购严重违法失信行</w:t>
      </w:r>
    </w:p>
    <w:p w14:paraId="43382802">
      <w:pPr>
        <w:spacing w:line="360" w:lineRule="auto"/>
        <w:ind w:left="857" w:leftChars="2" w:hanging="853"/>
        <w:jc w:val="left"/>
        <w:rPr>
          <w:rFonts w:hint="eastAsia" w:ascii="宋体" w:hAnsi="宋体" w:cs="宋体"/>
          <w:color w:val="auto"/>
          <w:sz w:val="24"/>
          <w:highlight w:val="none"/>
        </w:rPr>
      </w:pPr>
      <w:r>
        <w:rPr>
          <w:rFonts w:hint="eastAsia" w:ascii="宋体" w:hAnsi="宋体" w:cs="宋体"/>
          <w:color w:val="auto"/>
          <w:sz w:val="24"/>
          <w:highlight w:val="none"/>
        </w:rPr>
        <w:t>为记录名单，或在“信用中国”网站（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22"/>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）及“信用山东”网站</w:t>
      </w:r>
    </w:p>
    <w:p w14:paraId="603FDDC0">
      <w:pPr>
        <w:spacing w:line="360" w:lineRule="auto"/>
        <w:ind w:left="857" w:leftChars="2" w:hanging="853"/>
        <w:jc w:val="left"/>
        <w:rPr>
          <w:rFonts w:ascii="宋体" w:hAnsi="宋体" w:cs="宋体"/>
          <w:color w:val="auto"/>
          <w:sz w:val="24"/>
          <w:highlight w:val="none"/>
        </w:rPr>
      </w:pPr>
      <w:r>
        <w:rPr>
          <w:rFonts w:hint="eastAsia" w:ascii="宋体" w:hAnsi="宋体" w:cs="宋体"/>
          <w:color w:val="auto"/>
          <w:sz w:val="24"/>
          <w:highlight w:val="none"/>
        </w:rPr>
        <w:t>（</w:t>
      </w:r>
      <w:r>
        <w:rPr>
          <w:color w:val="auto"/>
          <w:highlight w:val="none"/>
        </w:rPr>
        <w:fldChar w:fldCharType="begin"/>
      </w:r>
      <w:r>
        <w:rPr>
          <w:color w:val="auto"/>
          <w:highlight w:val="none"/>
        </w:rPr>
        <w:instrText xml:space="preserve"> HYPERLINK "http://www.creditsd.gov.cn" </w:instrText>
      </w:r>
      <w:r>
        <w:rPr>
          <w:color w:val="auto"/>
          <w:highlight w:val="none"/>
        </w:rPr>
        <w:fldChar w:fldCharType="separate"/>
      </w:r>
      <w:r>
        <w:rPr>
          <w:rStyle w:val="22"/>
          <w:rFonts w:hint="eastAsia" w:ascii="宋体" w:hAnsi="宋体" w:cs="宋体"/>
          <w:color w:val="auto"/>
          <w:sz w:val="24"/>
          <w:highlight w:val="none"/>
        </w:rPr>
        <w:t>www.creditsd.gov.cn</w:t>
      </w:r>
      <w:r>
        <w:rPr>
          <w:rFonts w:hint="eastAsia" w:ascii="宋体" w:hAnsi="宋体" w:cs="宋体"/>
          <w:color w:val="auto"/>
          <w:sz w:val="24"/>
          <w:highlight w:val="none"/>
        </w:rPr>
        <w:fldChar w:fldCharType="end"/>
      </w:r>
      <w:r>
        <w:rPr>
          <w:rFonts w:hint="eastAsia" w:ascii="宋体" w:hAnsi="宋体" w:cs="宋体"/>
          <w:color w:val="auto"/>
          <w:sz w:val="24"/>
          <w:highlight w:val="none"/>
        </w:rPr>
        <w:t>）被列入失信被执行人、</w:t>
      </w:r>
      <w:r>
        <w:rPr>
          <w:rFonts w:hint="eastAsia" w:ascii="宋体" w:hAnsi="宋体" w:cs="宋体"/>
          <w:color w:val="auto"/>
          <w:sz w:val="24"/>
          <w:highlight w:val="none"/>
          <w:lang w:val="en-US" w:eastAsia="zh-CN"/>
        </w:rPr>
        <w:t>税收违法黑名单</w:t>
      </w:r>
      <w:r>
        <w:rPr>
          <w:rFonts w:hint="eastAsia" w:ascii="宋体" w:hAnsi="宋体" w:cs="宋体"/>
          <w:color w:val="auto"/>
          <w:sz w:val="24"/>
          <w:highlight w:val="none"/>
        </w:rPr>
        <w:t>，以及存在《中华</w:t>
      </w:r>
      <w:r>
        <w:rPr>
          <w:rFonts w:hint="eastAsia" w:ascii="宋体" w:hAnsi="宋体" w:cs="宋体"/>
          <w:color w:val="auto"/>
          <w:sz w:val="24"/>
          <w:highlight w:val="none"/>
          <w:lang w:val="en-US" w:eastAsia="zh-CN"/>
        </w:rPr>
        <w:t>人</w:t>
      </w:r>
      <w:r>
        <w:rPr>
          <w:rFonts w:hint="eastAsia" w:ascii="宋体" w:hAnsi="宋体" w:cs="宋体"/>
          <w:color w:val="auto"/>
          <w:sz w:val="24"/>
          <w:highlight w:val="none"/>
        </w:rPr>
        <w:t>民共和国政府采购法实施条例》第十九条规定的行政处罚记录。</w:t>
      </w:r>
    </w:p>
    <w:p w14:paraId="48BAD91F">
      <w:pPr>
        <w:spacing w:line="360" w:lineRule="auto"/>
        <w:jc w:val="left"/>
        <w:rPr>
          <w:rFonts w:ascii="宋体" w:hAnsi="宋体" w:cs="宋体"/>
          <w:color w:val="auto"/>
          <w:sz w:val="24"/>
          <w:highlight w:val="none"/>
        </w:rPr>
      </w:pPr>
      <w:r>
        <w:rPr>
          <w:rFonts w:hint="eastAsia" w:ascii="宋体" w:hAnsi="宋体" w:cs="宋体"/>
          <w:color w:val="auto"/>
          <w:sz w:val="24"/>
          <w:highlight w:val="none"/>
        </w:rPr>
        <w:t>以联合体形式进行响应的，联合体任何成员存在以上不良信用记录的，联合体其响应文件将被认定为无效。</w:t>
      </w:r>
    </w:p>
    <w:p w14:paraId="58353AA0">
      <w:pPr>
        <w:pStyle w:val="4"/>
        <w:spacing w:line="360" w:lineRule="auto"/>
        <w:ind w:left="850" w:hanging="849" w:hangingChars="354"/>
        <w:jc w:val="both"/>
        <w:rPr>
          <w:rFonts w:hint="eastAsia" w:hAnsi="宋体" w:cs="宋体"/>
          <w:color w:val="auto"/>
          <w:highlight w:val="none"/>
        </w:rPr>
      </w:pPr>
      <w:r>
        <w:rPr>
          <w:rFonts w:hint="eastAsia" w:hAnsi="宋体" w:cs="宋体"/>
          <w:color w:val="auto"/>
          <w:highlight w:val="none"/>
        </w:rPr>
        <w:t>20.2.2采购人</w:t>
      </w:r>
      <w:r>
        <w:rPr>
          <w:rFonts w:hint="eastAsia" w:hAnsi="宋体" w:cs="宋体"/>
          <w:b/>
          <w:bCs/>
          <w:color w:val="auto"/>
          <w:highlight w:val="none"/>
        </w:rPr>
        <w:t>或采购代理机构</w:t>
      </w:r>
      <w:r>
        <w:rPr>
          <w:rFonts w:hint="eastAsia" w:hAnsi="宋体" w:cs="宋体"/>
          <w:color w:val="auto"/>
          <w:highlight w:val="none"/>
        </w:rPr>
        <w:t>将信用记录查询网页打印、签字并存档备查。供应商信用</w:t>
      </w:r>
    </w:p>
    <w:p w14:paraId="182738F2">
      <w:pPr>
        <w:pStyle w:val="4"/>
        <w:spacing w:line="360" w:lineRule="auto"/>
        <w:ind w:left="850" w:hanging="849" w:hangingChars="354"/>
        <w:jc w:val="both"/>
        <w:rPr>
          <w:rFonts w:hint="eastAsia" w:hAnsi="宋体" w:cs="宋体"/>
          <w:color w:val="auto"/>
          <w:highlight w:val="none"/>
        </w:rPr>
      </w:pPr>
      <w:r>
        <w:rPr>
          <w:rFonts w:hint="eastAsia" w:hAnsi="宋体" w:cs="宋体"/>
          <w:color w:val="auto"/>
          <w:highlight w:val="none"/>
        </w:rPr>
        <w:t>记录以采购人</w:t>
      </w:r>
      <w:r>
        <w:rPr>
          <w:rFonts w:hint="eastAsia" w:hAnsi="宋体" w:cs="宋体"/>
          <w:b/>
          <w:bCs/>
          <w:color w:val="auto"/>
          <w:highlight w:val="none"/>
        </w:rPr>
        <w:t>或采购代理机构</w:t>
      </w:r>
      <w:r>
        <w:rPr>
          <w:rFonts w:hint="eastAsia" w:hAnsi="宋体" w:cs="宋体"/>
          <w:color w:val="auto"/>
          <w:highlight w:val="none"/>
        </w:rPr>
        <w:t>查询结果为准。供应商自行提供的与网站信息不一致的其</w:t>
      </w:r>
    </w:p>
    <w:p w14:paraId="6514AC8B">
      <w:pPr>
        <w:pStyle w:val="4"/>
        <w:spacing w:line="360" w:lineRule="auto"/>
        <w:ind w:left="850" w:hanging="849" w:hangingChars="354"/>
        <w:jc w:val="both"/>
        <w:rPr>
          <w:rFonts w:hAnsi="宋体" w:cs="宋体"/>
          <w:color w:val="auto"/>
          <w:highlight w:val="none"/>
        </w:rPr>
      </w:pPr>
      <w:r>
        <w:rPr>
          <w:rFonts w:hint="eastAsia" w:hAnsi="宋体" w:cs="宋体"/>
          <w:color w:val="auto"/>
          <w:highlight w:val="none"/>
        </w:rPr>
        <w:t>他证明材料亦不作为资格审查的依据。</w:t>
      </w:r>
    </w:p>
    <w:p w14:paraId="117E0BC7">
      <w:pPr>
        <w:pStyle w:val="4"/>
        <w:spacing w:line="360" w:lineRule="auto"/>
        <w:ind w:firstLine="0"/>
        <w:jc w:val="both"/>
        <w:rPr>
          <w:rFonts w:hAnsi="宋体" w:cs="宋体"/>
          <w:color w:val="auto"/>
          <w:highlight w:val="none"/>
        </w:rPr>
      </w:pPr>
      <w:r>
        <w:rPr>
          <w:rFonts w:hint="eastAsia" w:hAnsi="宋体" w:cs="宋体"/>
          <w:color w:val="auto"/>
          <w:highlight w:val="none"/>
        </w:rPr>
        <w:t>在本竞争性磋商文件规定的查询时间（即本项目递交报价文件截止时间）之后，网站信息发生的任何变更均不再作为磋商依据。</w:t>
      </w:r>
    </w:p>
    <w:p w14:paraId="7AABB621">
      <w:pPr>
        <w:pStyle w:val="5"/>
        <w:spacing w:before="0" w:after="0" w:line="360" w:lineRule="auto"/>
        <w:rPr>
          <w:rFonts w:hAnsi="宋体" w:cs="宋体"/>
          <w:b w:val="0"/>
          <w:bCs/>
          <w:color w:val="auto"/>
          <w:szCs w:val="24"/>
          <w:highlight w:val="none"/>
          <w:bdr w:val="single" w:color="auto" w:sz="4" w:space="0"/>
        </w:rPr>
      </w:pPr>
      <w:bookmarkStart w:id="136" w:name="_Toc13786"/>
      <w:r>
        <w:rPr>
          <w:rFonts w:hint="eastAsia" w:hAnsi="宋体" w:cs="宋体"/>
          <w:color w:val="auto"/>
          <w:szCs w:val="24"/>
          <w:highlight w:val="none"/>
          <w:u w:val="none"/>
        </w:rPr>
        <w:t>21.响应文件</w:t>
      </w:r>
      <w:bookmarkEnd w:id="132"/>
      <w:r>
        <w:rPr>
          <w:rFonts w:hint="eastAsia" w:hAnsi="宋体" w:cs="宋体"/>
          <w:color w:val="auto"/>
          <w:szCs w:val="24"/>
          <w:highlight w:val="none"/>
          <w:u w:val="none"/>
        </w:rPr>
        <w:t>符合性审查与澄清</w:t>
      </w:r>
      <w:bookmarkEnd w:id="133"/>
      <w:bookmarkEnd w:id="134"/>
      <w:bookmarkEnd w:id="135"/>
      <w:bookmarkEnd w:id="136"/>
    </w:p>
    <w:p w14:paraId="6010DD7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21.1符合性审查是指依据竞争性磋商文件的规定，从响应文件的有效性、完整性和响应</w:t>
      </w:r>
    </w:p>
    <w:p w14:paraId="0D321413">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程度对竞争性磋商文件的响应程度进行审查，以确定是否对竞争性磋商文件的实质性要</w:t>
      </w:r>
    </w:p>
    <w:p w14:paraId="2A5E4B84">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求做出响应。</w:t>
      </w:r>
      <w:bookmarkStart w:id="137" w:name="_Hlt522424701"/>
      <w:bookmarkEnd w:id="137"/>
      <w:bookmarkStart w:id="138" w:name="_Toc520356167"/>
    </w:p>
    <w:p w14:paraId="5AC7FCDC">
      <w:pPr>
        <w:spacing w:line="360" w:lineRule="auto"/>
        <w:rPr>
          <w:rFonts w:ascii="宋体" w:hAnsi="宋体" w:cs="宋体"/>
          <w:color w:val="auto"/>
          <w:sz w:val="24"/>
          <w:highlight w:val="none"/>
        </w:rPr>
      </w:pPr>
      <w:r>
        <w:rPr>
          <w:rFonts w:hint="eastAsia" w:ascii="宋体" w:hAnsi="宋体" w:cs="宋体"/>
          <w:color w:val="auto"/>
          <w:sz w:val="24"/>
          <w:highlight w:val="none"/>
        </w:rPr>
        <w:t>21.2经磋商小组集体审核通过，对于不符合条件的供应商要说明其不符合要求的原因，由其法定代表人或授权代表签字确认，供应商代表拒不签字的，并不影响磋商小组所做出的结论。</w:t>
      </w:r>
    </w:p>
    <w:p w14:paraId="48AF921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21.3响应文件的澄清</w:t>
      </w:r>
    </w:p>
    <w:p w14:paraId="03F1370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21.3.1在磋商期间，磋商小组将以书面方式要求供应商对其响应文件中含义不明确、对</w:t>
      </w:r>
    </w:p>
    <w:p w14:paraId="4F87ADC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同类问题表述不一致或者有明显文字和计算错误的内容，以及磋商小组认为供应商的报</w:t>
      </w:r>
    </w:p>
    <w:p w14:paraId="17AADAA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价明显低于其他通过符合性检查供应商的报价，有可能影响履约的情况作必要的澄清、</w:t>
      </w:r>
    </w:p>
    <w:p w14:paraId="2257967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说明或补正。供应商的澄清、说明或补正应在磋商小组规定的时间内以书面方式进行，</w:t>
      </w:r>
    </w:p>
    <w:p w14:paraId="05136DF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并不得超出响应文件范围或者改变响应文件的实质性内容。</w:t>
      </w:r>
    </w:p>
    <w:p w14:paraId="74EC85AE">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21.3.2供应商的澄清、说明或补正将作为响应文件的一部分。</w:t>
      </w:r>
    </w:p>
    <w:p w14:paraId="40B8A552">
      <w:pPr>
        <w:spacing w:line="360" w:lineRule="auto"/>
        <w:rPr>
          <w:rFonts w:ascii="宋体" w:hAnsi="宋体" w:cs="宋体"/>
          <w:color w:val="auto"/>
          <w:sz w:val="24"/>
          <w:highlight w:val="none"/>
        </w:rPr>
      </w:pPr>
      <w:r>
        <w:rPr>
          <w:rFonts w:hint="eastAsia" w:ascii="宋体" w:hAnsi="宋体" w:cs="宋体"/>
          <w:color w:val="auto"/>
          <w:sz w:val="24"/>
          <w:highlight w:val="none"/>
        </w:rPr>
        <w:t>21.3.3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01A9D719">
      <w:pPr>
        <w:spacing w:line="360" w:lineRule="auto"/>
        <w:rPr>
          <w:rFonts w:ascii="宋体" w:hAnsi="宋体" w:cs="宋体"/>
          <w:color w:val="auto"/>
          <w:sz w:val="24"/>
          <w:highlight w:val="none"/>
        </w:rPr>
      </w:pPr>
      <w:r>
        <w:rPr>
          <w:rFonts w:hint="eastAsia" w:ascii="宋体" w:hAnsi="宋体" w:cs="宋体"/>
          <w:color w:val="auto"/>
          <w:sz w:val="24"/>
          <w:highlight w:val="none"/>
        </w:rPr>
        <w:t>21.</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已提交响应文件的供应商，在提交最后报价之前，可以根据磋商情况退出磋商。</w:t>
      </w:r>
    </w:p>
    <w:p w14:paraId="4B56EF60">
      <w:pPr>
        <w:spacing w:line="360" w:lineRule="auto"/>
        <w:rPr>
          <w:rFonts w:ascii="宋体" w:hAnsi="宋体" w:cs="宋体"/>
          <w:color w:val="auto"/>
          <w:sz w:val="24"/>
          <w:highlight w:val="none"/>
        </w:rPr>
      </w:pPr>
      <w:r>
        <w:rPr>
          <w:rFonts w:hint="eastAsia" w:ascii="宋体" w:hAnsi="宋体" w:cs="宋体"/>
          <w:color w:val="auto"/>
          <w:sz w:val="24"/>
          <w:highlight w:val="none"/>
        </w:rPr>
        <w:t>21.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磋商小组可以接受响应文件中不构成实质性偏离的不正规或不一致。</w:t>
      </w:r>
    </w:p>
    <w:p w14:paraId="4F869CDC">
      <w:pPr>
        <w:pStyle w:val="5"/>
        <w:spacing w:before="0" w:after="0" w:line="360" w:lineRule="auto"/>
        <w:rPr>
          <w:rFonts w:hAnsi="宋体" w:cs="宋体"/>
          <w:color w:val="auto"/>
          <w:szCs w:val="24"/>
          <w:highlight w:val="none"/>
          <w:u w:val="none"/>
        </w:rPr>
      </w:pPr>
      <w:bookmarkStart w:id="139" w:name="_Toc515647783"/>
      <w:bookmarkStart w:id="140" w:name="_Toc6092"/>
      <w:bookmarkStart w:id="141" w:name="_Toc4950"/>
      <w:bookmarkStart w:id="142" w:name="_Toc14006"/>
      <w:r>
        <w:rPr>
          <w:rFonts w:hint="eastAsia" w:hAnsi="宋体" w:cs="宋体"/>
          <w:color w:val="auto"/>
          <w:szCs w:val="24"/>
          <w:highlight w:val="none"/>
          <w:u w:val="none"/>
        </w:rPr>
        <w:t>22.</w:t>
      </w:r>
      <w:bookmarkEnd w:id="139"/>
      <w:r>
        <w:rPr>
          <w:rFonts w:hint="eastAsia" w:hAnsi="宋体" w:cs="宋体"/>
          <w:color w:val="auto"/>
          <w:szCs w:val="24"/>
          <w:highlight w:val="none"/>
          <w:u w:val="none"/>
        </w:rPr>
        <w:t>无效</w:t>
      </w:r>
      <w:bookmarkEnd w:id="140"/>
      <w:bookmarkEnd w:id="141"/>
      <w:r>
        <w:rPr>
          <w:rFonts w:hint="eastAsia" w:hAnsi="宋体" w:cs="宋体"/>
          <w:color w:val="auto"/>
          <w:szCs w:val="24"/>
          <w:highlight w:val="none"/>
          <w:u w:val="none"/>
        </w:rPr>
        <w:t>响应</w:t>
      </w:r>
      <w:bookmarkEnd w:id="142"/>
    </w:p>
    <w:p w14:paraId="67577E73">
      <w:pPr>
        <w:spacing w:line="360" w:lineRule="auto"/>
        <w:ind w:left="852" w:leftChars="-23" w:hanging="900" w:hangingChars="375"/>
        <w:rPr>
          <w:rFonts w:hint="eastAsia" w:ascii="宋体" w:hAnsi="宋体" w:cs="宋体"/>
          <w:color w:val="auto"/>
          <w:sz w:val="24"/>
          <w:highlight w:val="none"/>
        </w:rPr>
      </w:pPr>
      <w:r>
        <w:rPr>
          <w:rFonts w:hint="eastAsia" w:ascii="宋体" w:hAnsi="宋体" w:cs="宋体"/>
          <w:color w:val="auto"/>
          <w:sz w:val="24"/>
          <w:highlight w:val="none"/>
        </w:rPr>
        <w:t>22.1在比较与评价之前，根据本须知的规定，磋商小组要审查每份响应文件是否实质上</w:t>
      </w:r>
    </w:p>
    <w:p w14:paraId="205EB131">
      <w:pPr>
        <w:spacing w:line="360" w:lineRule="auto"/>
        <w:ind w:left="852" w:leftChars="-23" w:hanging="900" w:hangingChars="375"/>
        <w:rPr>
          <w:rFonts w:ascii="宋体" w:hAnsi="宋体" w:cs="宋体"/>
          <w:color w:val="auto"/>
          <w:sz w:val="24"/>
          <w:highlight w:val="none"/>
        </w:rPr>
      </w:pPr>
      <w:r>
        <w:rPr>
          <w:rFonts w:hint="eastAsia" w:ascii="宋体" w:hAnsi="宋体" w:cs="宋体"/>
          <w:color w:val="auto"/>
          <w:sz w:val="24"/>
          <w:highlight w:val="none"/>
        </w:rPr>
        <w:t>响应了竞争性磋商文件的要求，未实质性响应磋商文件的响应文件按无效响应处理。</w:t>
      </w:r>
    </w:p>
    <w:p w14:paraId="2743B797">
      <w:pPr>
        <w:spacing w:line="360" w:lineRule="auto"/>
        <w:ind w:left="852" w:leftChars="-23" w:hanging="900" w:hangingChars="375"/>
        <w:rPr>
          <w:rFonts w:ascii="宋体" w:hAnsi="宋体" w:cs="宋体"/>
          <w:color w:val="auto"/>
          <w:sz w:val="24"/>
          <w:highlight w:val="none"/>
        </w:rPr>
      </w:pPr>
      <w:r>
        <w:rPr>
          <w:rFonts w:hint="eastAsia" w:ascii="宋体" w:hAnsi="宋体" w:cs="宋体"/>
          <w:color w:val="auto"/>
          <w:sz w:val="24"/>
          <w:highlight w:val="none"/>
        </w:rPr>
        <w:t>22.2如发现下列情况之一的，其响应将被认定为</w:t>
      </w:r>
      <w:r>
        <w:rPr>
          <w:rFonts w:hint="eastAsia" w:ascii="宋体" w:hAnsi="宋体" w:cs="宋体"/>
          <w:bCs/>
          <w:color w:val="auto"/>
          <w:sz w:val="24"/>
          <w:highlight w:val="none"/>
        </w:rPr>
        <w:t>响应无效</w:t>
      </w:r>
      <w:r>
        <w:rPr>
          <w:rFonts w:hint="eastAsia" w:ascii="宋体" w:hAnsi="宋体" w:cs="宋体"/>
          <w:color w:val="auto"/>
          <w:sz w:val="24"/>
          <w:highlight w:val="none"/>
        </w:rPr>
        <w:t>：</w:t>
      </w:r>
    </w:p>
    <w:p w14:paraId="45700E71">
      <w:pPr>
        <w:spacing w:line="360" w:lineRule="auto"/>
        <w:rPr>
          <w:rFonts w:ascii="宋体" w:hAnsi="宋体" w:cs="宋体"/>
          <w:color w:val="auto"/>
          <w:sz w:val="24"/>
          <w:highlight w:val="none"/>
        </w:rPr>
      </w:pPr>
      <w:r>
        <w:rPr>
          <w:rFonts w:hint="eastAsia" w:ascii="宋体" w:hAnsi="宋体" w:cs="宋体"/>
          <w:color w:val="auto"/>
          <w:sz w:val="24"/>
          <w:highlight w:val="none"/>
        </w:rPr>
        <w:t>（1）未按照竞争性磋商文件规定要求签署、盖章的；</w:t>
      </w:r>
    </w:p>
    <w:p w14:paraId="5ADC23EF">
      <w:pPr>
        <w:spacing w:line="360" w:lineRule="auto"/>
        <w:rPr>
          <w:rFonts w:ascii="宋体" w:hAnsi="宋体" w:cs="宋体"/>
          <w:color w:val="auto"/>
          <w:sz w:val="24"/>
          <w:highlight w:val="none"/>
        </w:rPr>
      </w:pPr>
      <w:r>
        <w:rPr>
          <w:rFonts w:hint="eastAsia" w:ascii="宋体" w:hAnsi="宋体" w:cs="宋体"/>
          <w:color w:val="auto"/>
          <w:sz w:val="24"/>
          <w:highlight w:val="none"/>
        </w:rPr>
        <w:t>（2）未满足竞争性磋商文件商务和技术条款的实质性要求的；</w:t>
      </w:r>
    </w:p>
    <w:p w14:paraId="47916E0E">
      <w:pPr>
        <w:spacing w:line="360" w:lineRule="auto"/>
        <w:rPr>
          <w:rFonts w:ascii="宋体" w:hAnsi="宋体" w:cs="宋体"/>
          <w:color w:val="auto"/>
          <w:sz w:val="24"/>
          <w:highlight w:val="none"/>
        </w:rPr>
      </w:pPr>
      <w:r>
        <w:rPr>
          <w:rFonts w:hint="eastAsia" w:ascii="宋体" w:hAnsi="宋体" w:cs="宋体"/>
          <w:color w:val="auto"/>
          <w:sz w:val="24"/>
          <w:highlight w:val="none"/>
        </w:rPr>
        <w:t>（3）报价超过项目预算或最高限价的；</w:t>
      </w:r>
    </w:p>
    <w:p w14:paraId="5FFB8F8A">
      <w:pPr>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）响应有效期不足的；</w:t>
      </w:r>
    </w:p>
    <w:p w14:paraId="33AB0170">
      <w:pPr>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）联合体响应文件未附联合体响应协议书的；</w:t>
      </w:r>
    </w:p>
    <w:p w14:paraId="16CCF57E">
      <w:pPr>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）属于串通响应，或者依法被视为串通响应；</w:t>
      </w:r>
    </w:p>
    <w:p w14:paraId="3A06934D">
      <w:pPr>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）响应文件含有采购人不能接受的附加条件的；</w:t>
      </w:r>
    </w:p>
    <w:p w14:paraId="47086EEA">
      <w:pPr>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）属于竞争性磋商文件规定的其他无效响应情形的；</w:t>
      </w:r>
    </w:p>
    <w:p w14:paraId="7F9B2A23">
      <w:pPr>
        <w:tabs>
          <w:tab w:val="left" w:pos="0"/>
        </w:tabs>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）不符合法规和竞争性磋商文件中规定的其他实质性要求的。</w:t>
      </w:r>
    </w:p>
    <w:p w14:paraId="188AAF73">
      <w:pPr>
        <w:pStyle w:val="5"/>
        <w:spacing w:before="0" w:after="0" w:line="360" w:lineRule="auto"/>
        <w:rPr>
          <w:rFonts w:hint="eastAsia" w:hAnsi="宋体" w:cs="宋体"/>
          <w:color w:val="auto"/>
          <w:szCs w:val="24"/>
          <w:highlight w:val="none"/>
          <w:u w:val="none"/>
        </w:rPr>
      </w:pPr>
      <w:bookmarkStart w:id="143" w:name="_Toc8486"/>
      <w:r>
        <w:rPr>
          <w:rFonts w:hint="eastAsia" w:hAnsi="宋体" w:cs="宋体"/>
          <w:color w:val="auto"/>
          <w:szCs w:val="24"/>
          <w:highlight w:val="none"/>
          <w:u w:val="none"/>
        </w:rPr>
        <w:t>23.</w:t>
      </w:r>
      <w:bookmarkEnd w:id="143"/>
      <w:r>
        <w:rPr>
          <w:rFonts w:hint="eastAsia" w:hAnsi="宋体" w:cs="宋体"/>
          <w:color w:val="auto"/>
          <w:szCs w:val="24"/>
          <w:highlight w:val="none"/>
          <w:u w:val="none"/>
        </w:rPr>
        <w:t>磋商</w:t>
      </w:r>
    </w:p>
    <w:p w14:paraId="655C7338">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23.1磋商小组所有成员集中与供应商分别单独进行磋商。</w:t>
      </w:r>
    </w:p>
    <w:p w14:paraId="6440E396">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23.2在磋商过程中，磋商小组可以根据磋商文件和磋商情况实质性变动采购需求中的技</w:t>
      </w:r>
    </w:p>
    <w:p w14:paraId="36B3B600">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术、服务要求以及合同条款，但不得变动磋商文件中的其他内容。实质性变动的内容，</w:t>
      </w:r>
    </w:p>
    <w:p w14:paraId="10FB6A5C">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须经采购人代表确认。</w:t>
      </w:r>
    </w:p>
    <w:p w14:paraId="478A9870">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23.3对磋商文件作出的实质性变动是磋商文件的有效组成部分，磋商小组应当及时以书</w:t>
      </w:r>
    </w:p>
    <w:p w14:paraId="2B19CB71">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面形式同时通知所有参加磋商的供应商。</w:t>
      </w:r>
    </w:p>
    <w:p w14:paraId="1D759BF5">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23.4供应商应当按照磋商文件的变动情况和磋商小组的要求重新提交响应文件，并由其</w:t>
      </w:r>
    </w:p>
    <w:p w14:paraId="777787D9">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法定代表人/负责人或委托代理人签字。供应商为自然人的，应当由本人签字并附身份证</w:t>
      </w:r>
    </w:p>
    <w:p w14:paraId="334632B6">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明。</w:t>
      </w:r>
    </w:p>
    <w:p w14:paraId="40B09788">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23.5本项目共</w:t>
      </w:r>
      <w:r>
        <w:rPr>
          <w:rFonts w:hint="eastAsia" w:ascii="宋体" w:hAnsi="宋体" w:cs="宋体"/>
          <w:color w:val="auto"/>
          <w:sz w:val="24"/>
          <w:highlight w:val="none"/>
          <w:u w:val="single"/>
        </w:rPr>
        <w:t>2</w:t>
      </w:r>
      <w:r>
        <w:rPr>
          <w:rFonts w:hint="eastAsia" w:ascii="宋体" w:hAnsi="宋体" w:cs="宋体"/>
          <w:color w:val="auto"/>
          <w:sz w:val="24"/>
          <w:highlight w:val="none"/>
        </w:rPr>
        <w:t>轮报价。磋商文件能够详细列明采购标的的技术、服务要求的，磋商结</w:t>
      </w:r>
    </w:p>
    <w:p w14:paraId="1E5D55EC">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束后，磋商小组应当要求所有实质性响应的供应商在规定时间内提交另一轮报价，该报</w:t>
      </w:r>
    </w:p>
    <w:p w14:paraId="6F6601D0">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价为最后报价，提交最后报价的供应商不得少于3家；磋商文件不能详细列明采购标的</w:t>
      </w:r>
    </w:p>
    <w:p w14:paraId="15ADFC63">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的技术、服务要求，需经磋商由供应商提供最终设计方案或解决方案的，磋商结束后，</w:t>
      </w:r>
    </w:p>
    <w:p w14:paraId="5E6D47E9">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磋商小组应当按照少数服从多数的原则投票推荐3家以上供应商的设计方案或者解决方</w:t>
      </w:r>
    </w:p>
    <w:p w14:paraId="32B16D1D">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案，并要求其在规定时间内提交另一轮报价，该报价为最后报价。</w:t>
      </w:r>
    </w:p>
    <w:p w14:paraId="5EFB45F9">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23.6最后报价是供应商响应文件的有效组成部分，供应商法定代表人/负责人或委托代</w:t>
      </w:r>
    </w:p>
    <w:p w14:paraId="2FC43A28">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理人对最后报价书面签字确认。</w:t>
      </w:r>
    </w:p>
    <w:p w14:paraId="002FE88F">
      <w:pPr>
        <w:spacing w:line="360" w:lineRule="auto"/>
        <w:ind w:left="912" w:leftChars="-23" w:hanging="960" w:hangingChars="400"/>
        <w:rPr>
          <w:rFonts w:hint="eastAsia" w:ascii="宋体" w:hAnsi="宋体" w:cs="宋体"/>
          <w:color w:val="auto"/>
          <w:sz w:val="24"/>
          <w:highlight w:val="none"/>
        </w:rPr>
      </w:pPr>
      <w:r>
        <w:rPr>
          <w:rFonts w:hint="eastAsia" w:ascii="宋体" w:hAnsi="宋体" w:cs="宋体"/>
          <w:color w:val="auto"/>
          <w:sz w:val="24"/>
          <w:highlight w:val="none"/>
        </w:rPr>
        <w:t>23.7已提交响应文件的供应商，在提交最后报价之前，可以根据磋商情况退出磋商。该</w:t>
      </w:r>
    </w:p>
    <w:p w14:paraId="3FEF2733">
      <w:pPr>
        <w:spacing w:line="360" w:lineRule="auto"/>
        <w:ind w:left="912" w:leftChars="-23" w:hanging="960" w:hangingChars="400"/>
        <w:rPr>
          <w:rFonts w:ascii="宋体" w:hAnsi="宋体" w:cs="宋体"/>
          <w:color w:val="auto"/>
          <w:sz w:val="24"/>
          <w:highlight w:val="none"/>
        </w:rPr>
      </w:pPr>
      <w:r>
        <w:rPr>
          <w:rFonts w:hint="eastAsia" w:ascii="宋体" w:hAnsi="宋体" w:cs="宋体"/>
          <w:color w:val="auto"/>
          <w:sz w:val="24"/>
          <w:highlight w:val="none"/>
        </w:rPr>
        <w:t>退出申请由供应商法定代表人/负责人或委托代理人书面签字确认。</w:t>
      </w:r>
    </w:p>
    <w:p w14:paraId="23C66AFE">
      <w:pPr>
        <w:pStyle w:val="5"/>
        <w:spacing w:before="0" w:after="0" w:line="360" w:lineRule="auto"/>
        <w:rPr>
          <w:rFonts w:hAnsi="宋体" w:cs="宋体"/>
          <w:color w:val="auto"/>
          <w:szCs w:val="24"/>
          <w:highlight w:val="none"/>
          <w:u w:val="none"/>
        </w:rPr>
      </w:pPr>
      <w:bookmarkStart w:id="144" w:name="_Toc515647784"/>
      <w:bookmarkStart w:id="145" w:name="_Toc13652"/>
      <w:bookmarkStart w:id="146" w:name="_Toc22941"/>
      <w:bookmarkStart w:id="147" w:name="_Toc2237"/>
      <w:r>
        <w:rPr>
          <w:rFonts w:hint="eastAsia" w:hAnsi="宋体" w:cs="宋体"/>
          <w:color w:val="auto"/>
          <w:szCs w:val="24"/>
          <w:highlight w:val="none"/>
          <w:u w:val="none"/>
        </w:rPr>
        <w:t>24.</w:t>
      </w:r>
      <w:bookmarkEnd w:id="138"/>
      <w:bookmarkEnd w:id="144"/>
      <w:bookmarkEnd w:id="145"/>
      <w:bookmarkEnd w:id="146"/>
      <w:r>
        <w:rPr>
          <w:rFonts w:hint="eastAsia" w:hAnsi="宋体" w:cs="宋体"/>
          <w:color w:val="auto"/>
          <w:szCs w:val="24"/>
          <w:highlight w:val="none"/>
          <w:u w:val="none"/>
        </w:rPr>
        <w:t>比较和评价</w:t>
      </w:r>
      <w:bookmarkEnd w:id="147"/>
    </w:p>
    <w:p w14:paraId="64B28283">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24.1经磋商确定最终采购需求和提交最后报价的供应商后，磋商小组将根据竞争性磋商</w:t>
      </w:r>
    </w:p>
    <w:p w14:paraId="6F07B12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文件确定的评审方法和标准，对其技术部分和商务部分作进一步的比较和评价。</w:t>
      </w:r>
    </w:p>
    <w:p w14:paraId="015C6967">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24.2磋商严格按照竞争性磋商文件的要求和条件进行。详细评审标准见竞争性磋商文件</w:t>
      </w:r>
    </w:p>
    <w:p w14:paraId="158F413A">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第5章。</w:t>
      </w:r>
    </w:p>
    <w:p w14:paraId="0A824AFC">
      <w:pPr>
        <w:spacing w:line="360" w:lineRule="auto"/>
        <w:rPr>
          <w:rFonts w:ascii="宋体" w:hAnsi="宋体" w:cs="宋体"/>
          <w:color w:val="auto"/>
          <w:sz w:val="24"/>
          <w:highlight w:val="none"/>
        </w:rPr>
      </w:pPr>
      <w:r>
        <w:rPr>
          <w:rFonts w:hint="eastAsia" w:ascii="宋体" w:hAnsi="宋体" w:cs="宋体"/>
          <w:color w:val="auto"/>
          <w:sz w:val="24"/>
          <w:highlight w:val="none"/>
        </w:rPr>
        <w:t>综合评分法，是指响应文件满足竞争性磋商文件全部要求，且按照评审因素的量化指标评审得分最高的供应商为成交候选供应商的评审方法。</w:t>
      </w:r>
    </w:p>
    <w:p w14:paraId="4976414E">
      <w:pPr>
        <w:pStyle w:val="11"/>
        <w:spacing w:line="360" w:lineRule="auto"/>
        <w:ind w:left="900" w:hanging="900" w:hangingChars="375"/>
        <w:rPr>
          <w:rFonts w:hint="eastAsia" w:hAnsi="宋体" w:cs="宋体"/>
          <w:color w:val="auto"/>
          <w:sz w:val="24"/>
          <w:szCs w:val="24"/>
          <w:highlight w:val="none"/>
        </w:rPr>
      </w:pPr>
      <w:r>
        <w:rPr>
          <w:rFonts w:hint="eastAsia" w:hAnsi="宋体" w:cs="宋体"/>
          <w:color w:val="auto"/>
          <w:sz w:val="24"/>
          <w:szCs w:val="24"/>
          <w:highlight w:val="none"/>
        </w:rPr>
        <w:t>24.3根据</w:t>
      </w:r>
      <w:r>
        <w:rPr>
          <w:rFonts w:hint="eastAsia" w:hAnsi="宋体" w:cs="宋体"/>
          <w:color w:val="auto"/>
          <w:sz w:val="24"/>
          <w:szCs w:val="24"/>
          <w:highlight w:val="none"/>
          <w:lang w:eastAsia="zh-CN"/>
        </w:rPr>
        <w:t>《政府采购促进中小企业管理办法》</w:t>
      </w:r>
      <w:r>
        <w:rPr>
          <w:rFonts w:hint="eastAsia" w:hAnsi="宋体" w:cs="宋体"/>
          <w:color w:val="auto"/>
          <w:sz w:val="24"/>
          <w:szCs w:val="24"/>
          <w:highlight w:val="none"/>
        </w:rPr>
        <w:t>、《财政部司法部关于政府采购支持监狱</w:t>
      </w:r>
    </w:p>
    <w:p w14:paraId="6C1E027C">
      <w:pPr>
        <w:pStyle w:val="11"/>
        <w:spacing w:line="360" w:lineRule="auto"/>
        <w:ind w:left="900" w:hanging="900" w:hangingChars="375"/>
        <w:rPr>
          <w:rFonts w:hint="eastAsia" w:hAnsi="宋体" w:cs="宋体"/>
          <w:color w:val="auto"/>
          <w:sz w:val="24"/>
          <w:szCs w:val="24"/>
          <w:highlight w:val="none"/>
        </w:rPr>
      </w:pPr>
      <w:r>
        <w:rPr>
          <w:rFonts w:hint="eastAsia" w:hAnsi="宋体" w:cs="宋体"/>
          <w:color w:val="auto"/>
          <w:sz w:val="24"/>
          <w:szCs w:val="24"/>
          <w:highlight w:val="none"/>
        </w:rPr>
        <w:t>企业发展有关问题的通知》（财库〔2014〕68号）和《三部门联合发布关于促进残疾人</w:t>
      </w:r>
    </w:p>
    <w:p w14:paraId="166297AC">
      <w:pPr>
        <w:pStyle w:val="11"/>
        <w:spacing w:line="360" w:lineRule="auto"/>
        <w:ind w:left="900" w:hanging="900" w:hangingChars="375"/>
        <w:rPr>
          <w:rFonts w:hint="eastAsia" w:hAnsi="宋体" w:cs="宋体"/>
          <w:color w:val="auto"/>
          <w:sz w:val="24"/>
          <w:szCs w:val="24"/>
          <w:highlight w:val="none"/>
        </w:rPr>
      </w:pPr>
      <w:r>
        <w:rPr>
          <w:rFonts w:hint="eastAsia" w:hAnsi="宋体" w:cs="宋体"/>
          <w:color w:val="auto"/>
          <w:sz w:val="24"/>
          <w:szCs w:val="24"/>
          <w:highlight w:val="none"/>
        </w:rPr>
        <w:t>就业政府采购政策的通知》（</w:t>
      </w:r>
      <w:bookmarkStart w:id="148" w:name="sendNo"/>
      <w:r>
        <w:rPr>
          <w:rFonts w:hint="eastAsia" w:hAnsi="宋体" w:cs="宋体"/>
          <w:bCs/>
          <w:color w:val="auto"/>
          <w:sz w:val="24"/>
          <w:szCs w:val="24"/>
          <w:highlight w:val="none"/>
        </w:rPr>
        <w:t>财库〔</w:t>
      </w:r>
      <w:bookmarkEnd w:id="148"/>
      <w:r>
        <w:rPr>
          <w:rFonts w:hint="eastAsia" w:hAnsi="宋体" w:cs="宋体"/>
          <w:bCs/>
          <w:color w:val="auto"/>
          <w:sz w:val="24"/>
          <w:szCs w:val="24"/>
          <w:highlight w:val="none"/>
        </w:rPr>
        <w:t>2017〕141号</w:t>
      </w:r>
      <w:r>
        <w:rPr>
          <w:rFonts w:hint="eastAsia" w:hAnsi="宋体" w:cs="宋体"/>
          <w:color w:val="auto"/>
          <w:sz w:val="24"/>
          <w:szCs w:val="24"/>
          <w:highlight w:val="none"/>
        </w:rPr>
        <w:t>）的规定，对满足价格扣除条件且在</w:t>
      </w:r>
    </w:p>
    <w:p w14:paraId="5E3B549F">
      <w:pPr>
        <w:pStyle w:val="11"/>
        <w:spacing w:line="360" w:lineRule="auto"/>
        <w:rPr>
          <w:rFonts w:hint="eastAsia" w:hAnsi="宋体" w:cs="宋体"/>
          <w:color w:val="auto"/>
          <w:sz w:val="24"/>
          <w:szCs w:val="24"/>
          <w:highlight w:val="none"/>
          <w:lang w:eastAsia="zh-CN"/>
        </w:rPr>
      </w:pPr>
      <w:r>
        <w:rPr>
          <w:rFonts w:hint="eastAsia" w:hAnsi="宋体" w:cs="宋体"/>
          <w:color w:val="auto"/>
          <w:sz w:val="24"/>
          <w:szCs w:val="24"/>
          <w:highlight w:val="none"/>
        </w:rPr>
        <w:t>响应文件中提交了《供应商企业类型声明函》</w:t>
      </w:r>
      <w:r>
        <w:rPr>
          <w:rFonts w:hint="eastAsia" w:hAnsi="宋体" w:cs="宋体"/>
          <w:color w:val="auto"/>
          <w:sz w:val="24"/>
          <w:szCs w:val="24"/>
          <w:highlight w:val="none"/>
          <w:lang w:eastAsia="zh-CN"/>
        </w:rPr>
        <w:t>、《</w:t>
      </w:r>
      <w:r>
        <w:rPr>
          <w:rFonts w:hint="eastAsia" w:hAnsi="宋体" w:cs="宋体"/>
          <w:color w:val="auto"/>
          <w:sz w:val="24"/>
          <w:szCs w:val="24"/>
          <w:highlight w:val="none"/>
        </w:rPr>
        <w:t>中小企业声明函</w:t>
      </w:r>
      <w:r>
        <w:rPr>
          <w:rFonts w:hint="eastAsia" w:hAnsi="宋体" w:cs="宋体"/>
          <w:color w:val="auto"/>
          <w:sz w:val="24"/>
          <w:szCs w:val="24"/>
          <w:highlight w:val="none"/>
          <w:lang w:eastAsia="zh-CN"/>
        </w:rPr>
        <w:t>》</w:t>
      </w:r>
      <w:r>
        <w:rPr>
          <w:rFonts w:hint="eastAsia" w:hAnsi="宋体" w:cs="宋体"/>
          <w:color w:val="auto"/>
          <w:sz w:val="24"/>
          <w:szCs w:val="24"/>
          <w:highlight w:val="none"/>
        </w:rPr>
        <w:t>或省级以上监狱管理局、戒毒管理局（含新疆生产建设兵团）出具的属于监狱企业的证明文件的供应商，其响应扣除</w:t>
      </w:r>
      <w:r>
        <w:rPr>
          <w:rFonts w:hint="eastAsia" w:hAnsi="宋体" w:cs="宋体"/>
          <w:color w:val="auto"/>
          <w:sz w:val="24"/>
          <w:szCs w:val="24"/>
          <w:highlight w:val="none"/>
          <w:lang w:val="en-US" w:eastAsia="zh-CN"/>
        </w:rPr>
        <w:t>5</w:t>
      </w:r>
      <w:r>
        <w:rPr>
          <w:rFonts w:hint="eastAsia" w:hAnsi="宋体" w:cs="宋体"/>
          <w:color w:val="auto"/>
          <w:sz w:val="24"/>
          <w:szCs w:val="24"/>
          <w:highlight w:val="none"/>
        </w:rPr>
        <w:t>%后参与</w:t>
      </w:r>
      <w:r>
        <w:rPr>
          <w:rFonts w:hint="eastAsia" w:hAnsi="宋体" w:cs="宋体"/>
          <w:color w:val="auto"/>
          <w:sz w:val="24"/>
          <w:szCs w:val="24"/>
          <w:highlight w:val="none"/>
          <w:lang w:eastAsia="zh-CN"/>
        </w:rPr>
        <w:t>磋商</w:t>
      </w:r>
      <w:r>
        <w:rPr>
          <w:rFonts w:hint="eastAsia" w:hAnsi="宋体" w:cs="宋体"/>
          <w:color w:val="auto"/>
          <w:sz w:val="24"/>
          <w:szCs w:val="24"/>
          <w:highlight w:val="none"/>
        </w:rPr>
        <w:t>。具体办法及比例详见竞</w:t>
      </w:r>
      <w:r>
        <w:rPr>
          <w:rFonts w:hint="eastAsia" w:hAnsi="宋体" w:cs="宋体"/>
          <w:color w:val="auto"/>
          <w:sz w:val="24"/>
          <w:szCs w:val="24"/>
          <w:highlight w:val="none"/>
          <w:lang w:eastAsia="zh-CN"/>
        </w:rPr>
        <w:t>争性磋商</w:t>
      </w:r>
      <w:r>
        <w:rPr>
          <w:rFonts w:hint="eastAsia" w:hAnsi="宋体" w:cs="宋体"/>
          <w:color w:val="auto"/>
          <w:sz w:val="24"/>
          <w:szCs w:val="24"/>
          <w:highlight w:val="none"/>
        </w:rPr>
        <w:t>文件</w:t>
      </w:r>
      <w:r>
        <w:rPr>
          <w:rFonts w:hint="eastAsia" w:hAnsi="宋体" w:cs="宋体"/>
          <w:color w:val="auto"/>
          <w:sz w:val="24"/>
          <w:highlight w:val="none"/>
        </w:rPr>
        <w:t>第5章</w:t>
      </w:r>
      <w:r>
        <w:rPr>
          <w:rFonts w:hint="eastAsia" w:hAnsi="宋体" w:cs="宋体"/>
          <w:color w:val="auto"/>
          <w:sz w:val="24"/>
          <w:szCs w:val="24"/>
          <w:highlight w:val="none"/>
        </w:rPr>
        <w:t>。</w:t>
      </w:r>
      <w:r>
        <w:rPr>
          <w:rFonts w:hint="eastAsia" w:hAnsi="宋体" w:cs="宋体"/>
          <w:b/>
          <w:bCs/>
          <w:color w:val="auto"/>
          <w:sz w:val="24"/>
          <w:szCs w:val="24"/>
          <w:highlight w:val="none"/>
          <w:lang w:eastAsia="zh-CN"/>
        </w:rPr>
        <w:t>（</w:t>
      </w:r>
      <w:r>
        <w:rPr>
          <w:rFonts w:hint="eastAsia" w:hAnsi="宋体" w:cs="宋体"/>
          <w:b/>
          <w:bCs/>
          <w:color w:val="auto"/>
          <w:sz w:val="24"/>
          <w:szCs w:val="24"/>
          <w:highlight w:val="none"/>
          <w:lang w:val="en-US" w:eastAsia="zh-CN"/>
        </w:rPr>
        <w:t>本项目不适用</w:t>
      </w:r>
      <w:r>
        <w:rPr>
          <w:rFonts w:hint="eastAsia" w:hAnsi="宋体" w:cs="宋体"/>
          <w:b/>
          <w:bCs/>
          <w:color w:val="auto"/>
          <w:sz w:val="24"/>
          <w:szCs w:val="24"/>
          <w:highlight w:val="none"/>
          <w:lang w:eastAsia="zh-CN"/>
        </w:rPr>
        <w:t>）</w:t>
      </w:r>
    </w:p>
    <w:p w14:paraId="31EE44D9">
      <w:pPr>
        <w:pStyle w:val="5"/>
        <w:spacing w:before="0" w:after="0" w:line="360" w:lineRule="auto"/>
        <w:rPr>
          <w:rFonts w:hAnsi="宋体" w:cs="宋体"/>
          <w:color w:val="auto"/>
          <w:szCs w:val="24"/>
          <w:highlight w:val="none"/>
          <w:u w:val="none"/>
        </w:rPr>
      </w:pPr>
      <w:bookmarkStart w:id="149" w:name="_Toc520356168"/>
      <w:bookmarkStart w:id="150" w:name="_Toc9378"/>
      <w:bookmarkStart w:id="151" w:name="_Toc20227"/>
      <w:bookmarkStart w:id="152" w:name="_Toc515647785"/>
      <w:bookmarkStart w:id="153" w:name="_Toc21360"/>
      <w:r>
        <w:rPr>
          <w:rFonts w:hint="eastAsia" w:hAnsi="宋体" w:cs="宋体"/>
          <w:color w:val="auto"/>
          <w:szCs w:val="24"/>
          <w:highlight w:val="none"/>
          <w:u w:val="none"/>
        </w:rPr>
        <w:t>2</w:t>
      </w:r>
      <w:bookmarkEnd w:id="149"/>
      <w:r>
        <w:rPr>
          <w:rFonts w:hint="eastAsia" w:hAnsi="宋体" w:cs="宋体"/>
          <w:color w:val="auto"/>
          <w:szCs w:val="24"/>
          <w:highlight w:val="none"/>
          <w:u w:val="none"/>
        </w:rPr>
        <w:t>5.</w:t>
      </w:r>
      <w:bookmarkEnd w:id="150"/>
      <w:bookmarkEnd w:id="151"/>
      <w:bookmarkEnd w:id="152"/>
      <w:r>
        <w:rPr>
          <w:rFonts w:hint="eastAsia" w:hAnsi="宋体" w:cs="宋体"/>
          <w:color w:val="auto"/>
          <w:szCs w:val="24"/>
          <w:highlight w:val="none"/>
          <w:u w:val="none"/>
        </w:rPr>
        <w:t>采购项目终止</w:t>
      </w:r>
      <w:bookmarkEnd w:id="153"/>
    </w:p>
    <w:p w14:paraId="0289D2B6">
      <w:pPr>
        <w:spacing w:line="360" w:lineRule="auto"/>
        <w:rPr>
          <w:rFonts w:ascii="宋体" w:hAnsi="宋体" w:cs="宋体"/>
          <w:color w:val="auto"/>
          <w:sz w:val="24"/>
          <w:highlight w:val="none"/>
        </w:rPr>
      </w:pPr>
      <w:r>
        <w:rPr>
          <w:rFonts w:hint="eastAsia" w:ascii="宋体" w:hAnsi="宋体" w:cs="宋体"/>
          <w:color w:val="auto"/>
          <w:sz w:val="24"/>
          <w:highlight w:val="none"/>
        </w:rPr>
        <w:t>出现下列情形之一的，采购人应当终止竞争性磋商采购活动，发布项目终止公告并说明原因，重新开展采购活动：</w:t>
      </w:r>
    </w:p>
    <w:p w14:paraId="69608789">
      <w:pPr>
        <w:spacing w:line="360" w:lineRule="auto"/>
        <w:ind w:left="792" w:leftChars="377"/>
        <w:rPr>
          <w:rFonts w:ascii="宋体" w:hAnsi="宋体" w:cs="宋体"/>
          <w:color w:val="auto"/>
          <w:sz w:val="24"/>
          <w:highlight w:val="none"/>
        </w:rPr>
      </w:pPr>
      <w:r>
        <w:rPr>
          <w:rFonts w:hint="eastAsia" w:ascii="宋体" w:hAnsi="宋体" w:cs="宋体"/>
          <w:color w:val="auto"/>
          <w:sz w:val="24"/>
          <w:highlight w:val="none"/>
        </w:rPr>
        <w:t>（1）因情况变化，不再符合规定的竞争性磋商采购方式适用情形的；</w:t>
      </w:r>
    </w:p>
    <w:p w14:paraId="191E88AA">
      <w:pPr>
        <w:spacing w:line="360" w:lineRule="auto"/>
        <w:ind w:left="792" w:leftChars="377"/>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2373A7BA">
      <w:pPr>
        <w:spacing w:line="360" w:lineRule="auto"/>
        <w:ind w:left="792" w:leftChars="377"/>
        <w:rPr>
          <w:rFonts w:ascii="宋体" w:hAnsi="宋体" w:cs="宋体"/>
          <w:color w:val="auto"/>
          <w:sz w:val="24"/>
          <w:highlight w:val="none"/>
        </w:rPr>
      </w:pPr>
      <w:r>
        <w:rPr>
          <w:rFonts w:hint="eastAsia" w:ascii="宋体" w:hAnsi="宋体" w:cs="宋体"/>
          <w:color w:val="auto"/>
          <w:sz w:val="24"/>
          <w:highlight w:val="none"/>
        </w:rPr>
        <w:t>（3）除《政府采购竞争性磋商采购方式管理暂行办法》第三条第四项规定的情形外，在采购过程中符合要求的供应商或者报价未超过采购预算的供应商不足3家的。</w:t>
      </w:r>
    </w:p>
    <w:p w14:paraId="47CD64AD">
      <w:pPr>
        <w:pStyle w:val="5"/>
        <w:spacing w:before="0" w:after="0" w:line="360" w:lineRule="auto"/>
        <w:rPr>
          <w:rFonts w:hAnsi="宋体" w:cs="宋体"/>
          <w:color w:val="auto"/>
          <w:szCs w:val="24"/>
          <w:highlight w:val="none"/>
          <w:u w:val="none"/>
        </w:rPr>
      </w:pPr>
      <w:bookmarkStart w:id="154" w:name="_Toc24972"/>
      <w:bookmarkStart w:id="155" w:name="_Toc31289"/>
      <w:bookmarkStart w:id="156" w:name="_Toc515647786"/>
      <w:bookmarkStart w:id="157" w:name="_Toc19551"/>
      <w:bookmarkStart w:id="158" w:name="_Toc520356169"/>
      <w:r>
        <w:rPr>
          <w:rFonts w:hint="eastAsia" w:hAnsi="宋体" w:cs="宋体"/>
          <w:color w:val="auto"/>
          <w:szCs w:val="24"/>
          <w:highlight w:val="none"/>
          <w:u w:val="none"/>
        </w:rPr>
        <w:t>26.保密</w:t>
      </w:r>
      <w:bookmarkEnd w:id="154"/>
      <w:bookmarkEnd w:id="155"/>
      <w:bookmarkEnd w:id="156"/>
      <w:r>
        <w:rPr>
          <w:rFonts w:hint="eastAsia" w:hAnsi="宋体" w:cs="宋体"/>
          <w:color w:val="auto"/>
          <w:szCs w:val="24"/>
          <w:highlight w:val="none"/>
          <w:u w:val="none"/>
        </w:rPr>
        <w:t>要求</w:t>
      </w:r>
      <w:bookmarkEnd w:id="157"/>
    </w:p>
    <w:p w14:paraId="2A4928B5">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26.1磋商将在严格保密的情况下进行。</w:t>
      </w:r>
    </w:p>
    <w:p w14:paraId="7C3FF7B1">
      <w:pPr>
        <w:spacing w:line="360" w:lineRule="auto"/>
        <w:ind w:left="900" w:hanging="900" w:hangingChars="375"/>
        <w:rPr>
          <w:rFonts w:hint="eastAsia" w:ascii="宋体" w:hAnsi="宋体" w:cs="宋体"/>
          <w:b/>
          <w:color w:val="auto"/>
          <w:sz w:val="24"/>
          <w:highlight w:val="none"/>
        </w:rPr>
      </w:pPr>
      <w:r>
        <w:rPr>
          <w:rFonts w:hint="eastAsia" w:ascii="宋体" w:hAnsi="宋体" w:cs="宋体"/>
          <w:color w:val="auto"/>
          <w:sz w:val="24"/>
          <w:highlight w:val="none"/>
        </w:rPr>
        <w:t>26.2政府采购评审专家应当遵守磋商工作纪律，</w:t>
      </w:r>
      <w:r>
        <w:rPr>
          <w:rFonts w:hint="eastAsia" w:ascii="宋体" w:hAnsi="宋体" w:cs="宋体"/>
          <w:b/>
          <w:color w:val="auto"/>
          <w:sz w:val="24"/>
          <w:highlight w:val="none"/>
        </w:rPr>
        <w:t>不得记录、复制或者带走任何评标资</w:t>
      </w:r>
    </w:p>
    <w:p w14:paraId="46D25D45">
      <w:pPr>
        <w:spacing w:line="360" w:lineRule="auto"/>
        <w:ind w:left="904" w:hanging="904" w:hangingChars="375"/>
        <w:rPr>
          <w:rFonts w:ascii="宋体" w:hAnsi="宋体" w:cs="宋体"/>
          <w:color w:val="auto"/>
          <w:sz w:val="24"/>
          <w:highlight w:val="none"/>
        </w:rPr>
      </w:pPr>
      <w:r>
        <w:rPr>
          <w:rFonts w:hint="eastAsia" w:ascii="宋体" w:hAnsi="宋体" w:cs="宋体"/>
          <w:b/>
          <w:color w:val="auto"/>
          <w:sz w:val="24"/>
          <w:highlight w:val="none"/>
        </w:rPr>
        <w:t>料，</w:t>
      </w:r>
      <w:r>
        <w:rPr>
          <w:rFonts w:hint="eastAsia" w:ascii="宋体" w:hAnsi="宋体" w:cs="宋体"/>
          <w:color w:val="auto"/>
          <w:sz w:val="24"/>
          <w:highlight w:val="none"/>
        </w:rPr>
        <w:t>不得泄露磋商文件、磋商情况和磋商中获悉的商业秘密。</w:t>
      </w:r>
    </w:p>
    <w:p w14:paraId="16A5CC10">
      <w:pPr>
        <w:pStyle w:val="3"/>
        <w:spacing w:before="0" w:line="360" w:lineRule="auto"/>
        <w:ind w:left="565" w:leftChars="12" w:hanging="540"/>
        <w:rPr>
          <w:rFonts w:ascii="宋体" w:hAnsi="宋体" w:eastAsia="宋体" w:cs="宋体"/>
          <w:color w:val="auto"/>
          <w:sz w:val="28"/>
          <w:szCs w:val="28"/>
          <w:highlight w:val="none"/>
        </w:rPr>
      </w:pPr>
      <w:bookmarkStart w:id="159" w:name="_Toc515647787"/>
      <w:bookmarkStart w:id="160" w:name="_Toc12143"/>
      <w:bookmarkStart w:id="161" w:name="_Toc216582810"/>
      <w:bookmarkStart w:id="162" w:name="_Toc23904"/>
      <w:bookmarkStart w:id="163" w:name="_Toc32303"/>
      <w:r>
        <w:rPr>
          <w:rFonts w:hint="eastAsia" w:ascii="宋体" w:hAnsi="宋体" w:eastAsia="宋体" w:cs="宋体"/>
          <w:color w:val="auto"/>
          <w:sz w:val="28"/>
          <w:szCs w:val="28"/>
          <w:highlight w:val="none"/>
        </w:rPr>
        <w:t>六</w:t>
      </w:r>
      <w:bookmarkEnd w:id="158"/>
      <w:r>
        <w:rPr>
          <w:rFonts w:hint="eastAsia" w:ascii="宋体" w:hAnsi="宋体" w:eastAsia="宋体" w:cs="宋体"/>
          <w:color w:val="auto"/>
          <w:sz w:val="28"/>
          <w:szCs w:val="28"/>
          <w:highlight w:val="none"/>
        </w:rPr>
        <w:t>、确定成交</w:t>
      </w:r>
      <w:bookmarkEnd w:id="159"/>
      <w:bookmarkEnd w:id="160"/>
      <w:bookmarkEnd w:id="161"/>
      <w:bookmarkEnd w:id="162"/>
      <w:bookmarkEnd w:id="163"/>
    </w:p>
    <w:p w14:paraId="743EBE97">
      <w:pPr>
        <w:pStyle w:val="4"/>
        <w:spacing w:line="360" w:lineRule="auto"/>
        <w:rPr>
          <w:rFonts w:hAnsi="宋体" w:cs="宋体"/>
          <w:color w:val="auto"/>
          <w:highlight w:val="none"/>
        </w:rPr>
      </w:pPr>
    </w:p>
    <w:p w14:paraId="0456F500">
      <w:pPr>
        <w:pStyle w:val="5"/>
        <w:spacing w:before="0" w:after="0" w:line="360" w:lineRule="auto"/>
        <w:rPr>
          <w:rFonts w:hAnsi="宋体" w:cs="宋体"/>
          <w:color w:val="auto"/>
          <w:highlight w:val="none"/>
          <w:u w:val="none"/>
        </w:rPr>
      </w:pPr>
      <w:bookmarkStart w:id="164" w:name="_Toc23762"/>
      <w:bookmarkStart w:id="165" w:name="_Toc23617"/>
      <w:bookmarkStart w:id="166" w:name="_Toc520356170"/>
      <w:bookmarkStart w:id="167" w:name="_Toc23511"/>
      <w:bookmarkStart w:id="168" w:name="_Ref467307010"/>
      <w:bookmarkStart w:id="169" w:name="_Toc515647788"/>
      <w:r>
        <w:rPr>
          <w:rFonts w:hint="eastAsia" w:hAnsi="宋体" w:cs="宋体"/>
          <w:color w:val="auto"/>
          <w:highlight w:val="none"/>
          <w:u w:val="none"/>
        </w:rPr>
        <w:t>27.成交候选供应商的确定原则及标准</w:t>
      </w:r>
      <w:bookmarkEnd w:id="164"/>
      <w:bookmarkEnd w:id="165"/>
      <w:bookmarkEnd w:id="166"/>
      <w:bookmarkEnd w:id="167"/>
      <w:bookmarkEnd w:id="168"/>
      <w:bookmarkEnd w:id="169"/>
    </w:p>
    <w:p w14:paraId="02237A96">
      <w:pPr>
        <w:spacing w:line="360" w:lineRule="auto"/>
        <w:rPr>
          <w:rFonts w:ascii="宋体" w:hAnsi="宋体" w:cs="宋体"/>
          <w:color w:val="auto"/>
          <w:sz w:val="24"/>
          <w:highlight w:val="none"/>
        </w:rPr>
      </w:pPr>
      <w:r>
        <w:rPr>
          <w:rFonts w:hint="eastAsia" w:ascii="宋体" w:hAnsi="宋体" w:cs="宋体"/>
          <w:color w:val="auto"/>
          <w:sz w:val="24"/>
          <w:highlight w:val="none"/>
        </w:rPr>
        <w:t>除29条规定外，对实质上响应磋商文件的供应商按下列方法进行排序，确定成交候选供应商。</w:t>
      </w:r>
    </w:p>
    <w:p w14:paraId="02603481">
      <w:pPr>
        <w:spacing w:line="360" w:lineRule="auto"/>
        <w:rPr>
          <w:rFonts w:ascii="宋体" w:hAnsi="宋体" w:cs="宋体"/>
          <w:color w:val="auto"/>
          <w:sz w:val="24"/>
          <w:highlight w:val="none"/>
        </w:rPr>
      </w:pPr>
      <w:r>
        <w:rPr>
          <w:rFonts w:hint="eastAsia" w:ascii="宋体" w:hAnsi="宋体" w:cs="宋体"/>
          <w:color w:val="auto"/>
          <w:sz w:val="24"/>
          <w:highlight w:val="none"/>
        </w:rPr>
        <w:t>磋商小组对实质上响应竞争性磋商文件的供应商按照竞争性磋商文件第5章规定的评审方法进行排序，确定3名以上成交候选供应商，并编写评审报告。评审得分相同的，按照最后报价由低到高的顺序推荐。评审得分且最后报价相同的，按照技术指标优劣顺序推荐。</w:t>
      </w:r>
    </w:p>
    <w:p w14:paraId="4A7BE41F">
      <w:pPr>
        <w:pStyle w:val="5"/>
        <w:tabs>
          <w:tab w:val="left" w:pos="900"/>
        </w:tabs>
        <w:spacing w:before="0" w:after="0" w:line="360" w:lineRule="auto"/>
        <w:rPr>
          <w:rFonts w:hAnsi="宋体" w:cs="宋体"/>
          <w:color w:val="auto"/>
          <w:highlight w:val="none"/>
          <w:u w:val="none"/>
        </w:rPr>
      </w:pPr>
      <w:bookmarkStart w:id="170" w:name="_Toc23951"/>
      <w:bookmarkStart w:id="171" w:name="_Toc20169"/>
      <w:bookmarkStart w:id="172" w:name="_Toc515647789"/>
      <w:bookmarkStart w:id="173" w:name="_Toc9653"/>
      <w:r>
        <w:rPr>
          <w:rFonts w:hint="eastAsia" w:hAnsi="宋体" w:cs="宋体"/>
          <w:color w:val="auto"/>
          <w:highlight w:val="none"/>
          <w:u w:val="none"/>
        </w:rPr>
        <w:t>28.确定成交候选供应商和成交供应商</w:t>
      </w:r>
      <w:bookmarkEnd w:id="170"/>
      <w:bookmarkEnd w:id="171"/>
      <w:bookmarkEnd w:id="172"/>
      <w:bookmarkEnd w:id="173"/>
    </w:p>
    <w:p w14:paraId="5E4A94D6">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磋商小组将根据评标标准，按</w:t>
      </w:r>
      <w:r>
        <w:rPr>
          <w:rFonts w:hint="eastAsia" w:ascii="宋体" w:hAnsi="宋体" w:cs="宋体"/>
          <w:color w:val="auto"/>
          <w:sz w:val="24"/>
          <w:highlight w:val="none"/>
          <w:u w:val="single"/>
        </w:rPr>
        <w:t>供应商须知资料表中</w:t>
      </w:r>
      <w:r>
        <w:rPr>
          <w:rFonts w:hint="eastAsia" w:ascii="宋体" w:hAnsi="宋体" w:cs="宋体"/>
          <w:color w:val="auto"/>
          <w:sz w:val="24"/>
          <w:highlight w:val="none"/>
        </w:rPr>
        <w:t>规定数量推荐</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rPr>
        <w:t>候选人或根据采购</w:t>
      </w:r>
    </w:p>
    <w:p w14:paraId="36F1FFBA">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人的委托直接确定成交供应商。</w:t>
      </w:r>
    </w:p>
    <w:p w14:paraId="2FA87C9C">
      <w:pPr>
        <w:pStyle w:val="5"/>
        <w:spacing w:line="360" w:lineRule="auto"/>
        <w:rPr>
          <w:rFonts w:hAnsi="宋体" w:cs="宋体"/>
          <w:color w:val="auto"/>
          <w:highlight w:val="none"/>
        </w:rPr>
      </w:pPr>
      <w:bookmarkStart w:id="174" w:name="_Toc51176613"/>
      <w:bookmarkStart w:id="175" w:name="_Toc25255"/>
      <w:r>
        <w:rPr>
          <w:rFonts w:hint="eastAsia" w:hAnsi="宋体" w:cs="宋体"/>
          <w:color w:val="auto"/>
          <w:highlight w:val="none"/>
        </w:rPr>
        <w:t>29.采购任务取消</w:t>
      </w:r>
      <w:bookmarkEnd w:id="174"/>
      <w:bookmarkEnd w:id="175"/>
    </w:p>
    <w:p w14:paraId="74B4834B">
      <w:pPr>
        <w:spacing w:line="360" w:lineRule="auto"/>
        <w:jc w:val="left"/>
        <w:rPr>
          <w:rFonts w:ascii="宋体" w:hAnsi="宋体" w:cs="宋体"/>
          <w:color w:val="auto"/>
          <w:sz w:val="24"/>
          <w:highlight w:val="none"/>
        </w:rPr>
      </w:pPr>
      <w:r>
        <w:rPr>
          <w:rFonts w:hint="eastAsia" w:ascii="宋体" w:hAnsi="宋体" w:cs="宋体"/>
          <w:color w:val="auto"/>
          <w:sz w:val="24"/>
          <w:highlight w:val="none"/>
        </w:rPr>
        <w:t>因重大变故采购任务取消时，采购人有权拒绝任何供应商成交，对受影响的供应商不承担任何责任。</w:t>
      </w:r>
    </w:p>
    <w:p w14:paraId="17F93DEC">
      <w:pPr>
        <w:pStyle w:val="5"/>
        <w:spacing w:before="0" w:after="0" w:line="360" w:lineRule="auto"/>
        <w:rPr>
          <w:rFonts w:hAnsi="宋体" w:cs="宋体"/>
          <w:color w:val="auto"/>
          <w:highlight w:val="none"/>
          <w:u w:val="none"/>
        </w:rPr>
      </w:pPr>
      <w:bookmarkStart w:id="176" w:name="_Toc520356174"/>
      <w:bookmarkStart w:id="177" w:name="_Toc518923095"/>
      <w:bookmarkStart w:id="178" w:name="_Toc19087101"/>
      <w:bookmarkStart w:id="179" w:name="_Toc28576"/>
      <w:r>
        <w:rPr>
          <w:rFonts w:hint="eastAsia" w:hAnsi="宋体" w:cs="宋体"/>
          <w:color w:val="auto"/>
          <w:highlight w:val="none"/>
          <w:u w:val="none"/>
        </w:rPr>
        <w:t>30.发出成交</w:t>
      </w:r>
      <w:bookmarkEnd w:id="176"/>
      <w:r>
        <w:rPr>
          <w:rFonts w:hint="eastAsia" w:hAnsi="宋体" w:cs="宋体"/>
          <w:color w:val="auto"/>
          <w:highlight w:val="none"/>
          <w:u w:val="none"/>
        </w:rPr>
        <w:t>通知书</w:t>
      </w:r>
      <w:bookmarkEnd w:id="177"/>
      <w:bookmarkEnd w:id="178"/>
      <w:bookmarkEnd w:id="179"/>
    </w:p>
    <w:p w14:paraId="24C08DB7">
      <w:pPr>
        <w:spacing w:line="360" w:lineRule="auto"/>
        <w:rPr>
          <w:rFonts w:ascii="宋体" w:hAnsi="宋体" w:cs="宋体"/>
          <w:color w:val="auto"/>
          <w:sz w:val="24"/>
          <w:highlight w:val="none"/>
        </w:rPr>
      </w:pPr>
      <w:r>
        <w:rPr>
          <w:rFonts w:hint="eastAsia" w:ascii="宋体" w:hAnsi="宋体" w:cs="宋体"/>
          <w:color w:val="auto"/>
          <w:sz w:val="24"/>
          <w:highlight w:val="none"/>
        </w:rPr>
        <w:t>在响应有效期内，成交供应商确定后，采购人或者采购代理机构按照规定应同时公告供应商未</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rPr>
        <w:t>的原因，发布成交公告，在公告成交结果的同时，向成交供应商发出成交通知书，成交通知书是合同的组成部分。</w:t>
      </w:r>
    </w:p>
    <w:p w14:paraId="6D8C9955">
      <w:pPr>
        <w:pStyle w:val="5"/>
        <w:spacing w:before="0" w:after="0" w:line="360" w:lineRule="auto"/>
        <w:rPr>
          <w:rFonts w:hAnsi="宋体" w:cs="宋体"/>
          <w:color w:val="auto"/>
          <w:highlight w:val="none"/>
          <w:u w:val="none"/>
        </w:rPr>
      </w:pPr>
      <w:bookmarkStart w:id="180" w:name="_Toc520356175"/>
      <w:bookmarkStart w:id="181" w:name="_Ref467307204"/>
      <w:bookmarkStart w:id="182" w:name="_Toc19087104"/>
      <w:bookmarkStart w:id="183" w:name="_Toc518923096"/>
      <w:bookmarkStart w:id="184" w:name="_Ref467306377"/>
      <w:bookmarkStart w:id="185" w:name="_Ref467306978"/>
      <w:bookmarkStart w:id="186" w:name="_Ref467307062"/>
      <w:bookmarkStart w:id="187" w:name="_Toc743"/>
      <w:r>
        <w:rPr>
          <w:rFonts w:hint="eastAsia" w:hAnsi="宋体" w:cs="宋体"/>
          <w:color w:val="auto"/>
          <w:highlight w:val="none"/>
          <w:u w:val="none"/>
        </w:rPr>
        <w:t>31.签订合同</w:t>
      </w:r>
      <w:bookmarkEnd w:id="180"/>
      <w:bookmarkEnd w:id="181"/>
      <w:bookmarkEnd w:id="182"/>
      <w:bookmarkEnd w:id="183"/>
      <w:bookmarkEnd w:id="184"/>
      <w:bookmarkEnd w:id="185"/>
      <w:bookmarkEnd w:id="186"/>
      <w:bookmarkEnd w:id="187"/>
    </w:p>
    <w:p w14:paraId="28C12FF3">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31.1成交供应商应当自发出成交通知书之日起</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个工作日内，与采购人签订合同。</w:t>
      </w:r>
    </w:p>
    <w:p w14:paraId="7C7DE9FF">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31.2</w:t>
      </w:r>
      <w:bookmarkStart w:id="188" w:name="_Ref467306425"/>
      <w:bookmarkStart w:id="189" w:name="_Ref467307090"/>
      <w:bookmarkStart w:id="190" w:name="_Toc520356176"/>
      <w:r>
        <w:rPr>
          <w:rFonts w:hint="eastAsia" w:ascii="宋体" w:hAnsi="宋体" w:cs="宋体"/>
          <w:color w:val="auto"/>
          <w:sz w:val="24"/>
          <w:highlight w:val="none"/>
        </w:rPr>
        <w:t>竞争性磋商文件、成交供应商的响应文件及其澄清文件等，均为签订合同的依据。</w:t>
      </w:r>
    </w:p>
    <w:p w14:paraId="31CD293D">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31.3如成交供应商拒绝与采购人签订合同的，采购人可以按照评审报告推荐的成交候选</w:t>
      </w:r>
    </w:p>
    <w:p w14:paraId="74886EBD">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供应商名单排序，确定下一成交候选供应商为成交供应商，也可以重新开展政府采购活</w:t>
      </w:r>
    </w:p>
    <w:p w14:paraId="34BBDBA6">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动。</w:t>
      </w:r>
    </w:p>
    <w:p w14:paraId="73EB3540">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31.4当出现法规规定的成交无效或成交结果无效情形时，采购人依规可与排名下一位的</w:t>
      </w:r>
    </w:p>
    <w:p w14:paraId="7AE6BC8B">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成交候选供应商另行签订合同，或依法重新开展采购活动。</w:t>
      </w:r>
    </w:p>
    <w:p w14:paraId="7F8C282C">
      <w:pPr>
        <w:pStyle w:val="5"/>
        <w:spacing w:before="0" w:after="0" w:line="360" w:lineRule="auto"/>
        <w:rPr>
          <w:rFonts w:hAnsi="宋体" w:cs="宋体"/>
          <w:color w:val="auto"/>
          <w:highlight w:val="none"/>
          <w:u w:val="none"/>
        </w:rPr>
      </w:pPr>
      <w:bookmarkStart w:id="191" w:name="_Toc7849"/>
      <w:bookmarkStart w:id="192" w:name="_Toc518923097"/>
      <w:bookmarkStart w:id="193" w:name="_Toc19087105"/>
      <w:r>
        <w:rPr>
          <w:rFonts w:hint="eastAsia" w:hAnsi="宋体" w:cs="宋体"/>
          <w:color w:val="auto"/>
          <w:highlight w:val="none"/>
          <w:u w:val="none"/>
        </w:rPr>
        <w:t>32.履约保证金</w:t>
      </w:r>
      <w:bookmarkEnd w:id="188"/>
      <w:bookmarkEnd w:id="189"/>
      <w:bookmarkEnd w:id="190"/>
      <w:bookmarkEnd w:id="191"/>
      <w:bookmarkEnd w:id="192"/>
      <w:bookmarkEnd w:id="193"/>
    </w:p>
    <w:p w14:paraId="001A1434">
      <w:pPr>
        <w:spacing w:line="360" w:lineRule="auto"/>
        <w:rPr>
          <w:rFonts w:ascii="宋体" w:hAnsi="宋体" w:cs="宋体"/>
          <w:color w:val="auto"/>
          <w:sz w:val="24"/>
          <w:highlight w:val="none"/>
        </w:rPr>
      </w:pPr>
      <w:r>
        <w:rPr>
          <w:rFonts w:hint="eastAsia" w:ascii="宋体" w:hAnsi="宋体" w:cs="宋体"/>
          <w:color w:val="auto"/>
          <w:sz w:val="24"/>
          <w:highlight w:val="none"/>
        </w:rPr>
        <w:t>32.1如果需要履约保证金，成交供应商应按照</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规定向采购人缴纳履约保证金（如采用保函形式，格式见本章附件1）</w:t>
      </w:r>
    </w:p>
    <w:p w14:paraId="29002743">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32.2政府采购利用担保试点范围内的项目，除31.1规定的情形外，成交供应商也可以</w:t>
      </w:r>
    </w:p>
    <w:p w14:paraId="10EE5E1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按照财政部门的规定，向采购人提供合格的履约担保函（格式见本章附件2）。</w:t>
      </w:r>
    </w:p>
    <w:p w14:paraId="5B4F4757">
      <w:pPr>
        <w:spacing w:line="360" w:lineRule="auto"/>
        <w:rPr>
          <w:rFonts w:ascii="宋体" w:hAnsi="宋体" w:cs="宋体"/>
          <w:color w:val="auto"/>
          <w:sz w:val="24"/>
          <w:highlight w:val="none"/>
        </w:rPr>
      </w:pPr>
      <w:r>
        <w:rPr>
          <w:rFonts w:hint="eastAsia" w:ascii="宋体" w:hAnsi="宋体" w:cs="宋体"/>
          <w:color w:val="auto"/>
          <w:sz w:val="24"/>
          <w:highlight w:val="none"/>
        </w:rPr>
        <w:t>32.3如果成交供应商没有按照上述履约保证金的规定执行，将视为放弃成交资格，成交供应商的磋商保证金将不予退还（如有）。在此情况下，采购人可依规确定下一候选人为成交供应商，也可以重新开展采购活动。</w:t>
      </w:r>
    </w:p>
    <w:p w14:paraId="4336F3AA">
      <w:pPr>
        <w:pStyle w:val="5"/>
        <w:spacing w:line="360" w:lineRule="auto"/>
        <w:rPr>
          <w:rFonts w:hAnsi="宋体" w:cs="宋体"/>
          <w:color w:val="auto"/>
          <w:highlight w:val="none"/>
        </w:rPr>
      </w:pPr>
      <w:bookmarkStart w:id="194" w:name="_Toc518923099"/>
      <w:bookmarkStart w:id="195" w:name="_Toc32274"/>
      <w:bookmarkStart w:id="196" w:name="_Toc51176617"/>
      <w:bookmarkStart w:id="197" w:name="_Toc31411"/>
      <w:r>
        <w:rPr>
          <w:rFonts w:hint="eastAsia" w:hAnsi="宋体" w:cs="宋体"/>
          <w:color w:val="auto"/>
          <w:highlight w:val="none"/>
        </w:rPr>
        <w:t>33.政府采购信用担保</w:t>
      </w:r>
      <w:bookmarkEnd w:id="194"/>
      <w:bookmarkEnd w:id="195"/>
      <w:bookmarkEnd w:id="196"/>
      <w:bookmarkEnd w:id="197"/>
    </w:p>
    <w:p w14:paraId="2EEB3350">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33.1本项目是否属于信用担保试点范围见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0AFCD6A4">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33.2如属于政府采购信用担保试点范围内，中小型企业供应商可以自由按照财政部门的</w:t>
      </w:r>
    </w:p>
    <w:p w14:paraId="47F48D7F">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规定，采用磋商担保、履约担保和融资担保。</w:t>
      </w:r>
    </w:p>
    <w:p w14:paraId="048FA66A">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33.2.1供应商递交的磋商担保函和履约担保函应符合本磋商文件的规定。</w:t>
      </w:r>
    </w:p>
    <w:p w14:paraId="5A83E579">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33.2.2成交供应商可以采取融资担保的形式为政府采购项目履约进行融资。</w:t>
      </w:r>
    </w:p>
    <w:p w14:paraId="119F30BD">
      <w:pPr>
        <w:pStyle w:val="5"/>
        <w:spacing w:before="0" w:after="0" w:line="360" w:lineRule="auto"/>
        <w:rPr>
          <w:rFonts w:hAnsi="宋体" w:cs="宋体"/>
          <w:color w:val="auto"/>
          <w:highlight w:val="none"/>
          <w:u w:val="none"/>
        </w:rPr>
      </w:pPr>
      <w:bookmarkStart w:id="198" w:name="_Toc518923098"/>
      <w:bookmarkStart w:id="199" w:name="_Toc19016170"/>
      <w:bookmarkStart w:id="200" w:name="_Toc28030"/>
      <w:bookmarkStart w:id="201" w:name="_Toc19087106"/>
      <w:bookmarkStart w:id="202" w:name="_Toc518923100"/>
      <w:r>
        <w:rPr>
          <w:rFonts w:hint="eastAsia" w:hAnsi="宋体" w:cs="宋体"/>
          <w:color w:val="auto"/>
          <w:highlight w:val="none"/>
          <w:u w:val="none"/>
        </w:rPr>
        <w:t>34.</w:t>
      </w:r>
      <w:bookmarkEnd w:id="198"/>
      <w:r>
        <w:rPr>
          <w:rFonts w:hint="eastAsia" w:hAnsi="宋体" w:cs="宋体"/>
          <w:color w:val="auto"/>
          <w:highlight w:val="none"/>
          <w:u w:val="none"/>
        </w:rPr>
        <w:t>预付款</w:t>
      </w:r>
      <w:bookmarkEnd w:id="199"/>
      <w:bookmarkEnd w:id="200"/>
      <w:bookmarkEnd w:id="201"/>
    </w:p>
    <w:p w14:paraId="2C44E0DE">
      <w:pPr>
        <w:spacing w:line="360" w:lineRule="auto"/>
        <w:ind w:left="847" w:hanging="847" w:hangingChars="353"/>
        <w:rPr>
          <w:rFonts w:hint="eastAsia" w:ascii="宋体" w:hAnsi="宋体" w:cs="宋体"/>
          <w:color w:val="auto"/>
          <w:sz w:val="24"/>
          <w:highlight w:val="none"/>
        </w:rPr>
      </w:pPr>
      <w:r>
        <w:rPr>
          <w:rFonts w:hint="eastAsia" w:ascii="宋体" w:hAnsi="宋体" w:cs="宋体"/>
          <w:color w:val="auto"/>
          <w:sz w:val="24"/>
          <w:highlight w:val="none"/>
        </w:rPr>
        <w:t>34.1预付款是在指政府采购合同签订后、履行前，采购人向成交供应商预先支付部分合</w:t>
      </w:r>
    </w:p>
    <w:p w14:paraId="30E9D785">
      <w:pPr>
        <w:spacing w:line="360" w:lineRule="auto"/>
        <w:ind w:left="847" w:hanging="847" w:hangingChars="353"/>
        <w:rPr>
          <w:rFonts w:ascii="宋体" w:hAnsi="宋体" w:cs="宋体"/>
          <w:color w:val="auto"/>
          <w:sz w:val="24"/>
          <w:highlight w:val="none"/>
        </w:rPr>
      </w:pPr>
      <w:r>
        <w:rPr>
          <w:rFonts w:hint="eastAsia" w:ascii="宋体" w:hAnsi="宋体" w:cs="宋体"/>
          <w:color w:val="auto"/>
          <w:sz w:val="24"/>
          <w:highlight w:val="none"/>
        </w:rPr>
        <w:t>同款项，预付款比例按照</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规定执行。</w:t>
      </w:r>
    </w:p>
    <w:p w14:paraId="2A563EF9">
      <w:pPr>
        <w:spacing w:line="360" w:lineRule="auto"/>
        <w:ind w:left="850" w:hanging="849" w:hangingChars="354"/>
        <w:rPr>
          <w:rFonts w:ascii="宋体" w:hAnsi="宋体" w:cs="宋体"/>
          <w:color w:val="auto"/>
          <w:sz w:val="24"/>
          <w:highlight w:val="none"/>
        </w:rPr>
      </w:pPr>
      <w:r>
        <w:rPr>
          <w:rFonts w:hint="eastAsia" w:ascii="宋体" w:hAnsi="宋体" w:cs="宋体"/>
          <w:color w:val="auto"/>
          <w:sz w:val="24"/>
          <w:highlight w:val="none"/>
        </w:rPr>
        <w:t>34.2本项目采购人不需要支付预付款的情形，见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14:paraId="258E68E8">
      <w:pPr>
        <w:pStyle w:val="5"/>
        <w:spacing w:before="0" w:after="0" w:line="360" w:lineRule="auto"/>
        <w:rPr>
          <w:rFonts w:hAnsi="宋体" w:cs="宋体"/>
          <w:color w:val="auto"/>
          <w:highlight w:val="none"/>
          <w:u w:val="none"/>
        </w:rPr>
      </w:pPr>
      <w:bookmarkStart w:id="203" w:name="_Toc19087107"/>
      <w:bookmarkStart w:id="204" w:name="_Toc17716"/>
      <w:r>
        <w:rPr>
          <w:rFonts w:hint="eastAsia" w:hAnsi="宋体" w:cs="宋体"/>
          <w:color w:val="auto"/>
          <w:highlight w:val="none"/>
          <w:u w:val="none"/>
        </w:rPr>
        <w:t>35.廉洁自律规定</w:t>
      </w:r>
      <w:bookmarkEnd w:id="202"/>
      <w:bookmarkEnd w:id="203"/>
      <w:bookmarkEnd w:id="204"/>
    </w:p>
    <w:p w14:paraId="39AEF1B1">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35.1采购代理机构工作人员不得与采购人、供应商恶意串通操纵政府采购活动。</w:t>
      </w:r>
    </w:p>
    <w:p w14:paraId="4E0C644D">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35.2采购代理机构工作人员不得接受采购人或者供应商组织的宴请、旅游、娱乐，不得</w:t>
      </w:r>
    </w:p>
    <w:p w14:paraId="370D3545">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收受礼品、现金、有价证券等，不得向采购人或者供应商报销应当由个人承担的费用。</w:t>
      </w:r>
    </w:p>
    <w:p w14:paraId="1462EBD8">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35.3为强化采购代理机构内部监督机制，供应商可按</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中的监督电话和</w:t>
      </w:r>
    </w:p>
    <w:p w14:paraId="51F3AAC0">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邮箱，反映采购代理机构的廉洁自律等问题。</w:t>
      </w:r>
    </w:p>
    <w:p w14:paraId="14E72F0C">
      <w:pPr>
        <w:pStyle w:val="5"/>
        <w:spacing w:before="0" w:after="0" w:line="360" w:lineRule="auto"/>
        <w:rPr>
          <w:rFonts w:hAnsi="宋体" w:cs="宋体"/>
          <w:color w:val="auto"/>
          <w:highlight w:val="none"/>
          <w:u w:val="none"/>
        </w:rPr>
      </w:pPr>
      <w:bookmarkStart w:id="205" w:name="_Toc19087108"/>
      <w:bookmarkStart w:id="206" w:name="_Toc518923101"/>
      <w:bookmarkStart w:id="207" w:name="_Toc8017"/>
      <w:r>
        <w:rPr>
          <w:rFonts w:hint="eastAsia" w:hAnsi="宋体" w:cs="宋体"/>
          <w:color w:val="auto"/>
          <w:highlight w:val="none"/>
          <w:u w:val="none"/>
        </w:rPr>
        <w:t>36.人员回避</w:t>
      </w:r>
      <w:bookmarkEnd w:id="205"/>
      <w:bookmarkEnd w:id="206"/>
      <w:bookmarkEnd w:id="207"/>
    </w:p>
    <w:p w14:paraId="238E906D">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潜在供应商认为竞争性磋商文件使自己的权益受到损害的，供应商认为采购人员、采购</w:t>
      </w:r>
    </w:p>
    <w:p w14:paraId="245995B6">
      <w:pPr>
        <w:spacing w:line="360" w:lineRule="auto"/>
        <w:ind w:left="900" w:hanging="900" w:hangingChars="375"/>
        <w:rPr>
          <w:rFonts w:hint="eastAsia" w:ascii="宋体" w:hAnsi="宋体" w:cs="宋体"/>
          <w:color w:val="auto"/>
          <w:sz w:val="24"/>
          <w:highlight w:val="none"/>
        </w:rPr>
      </w:pPr>
      <w:r>
        <w:rPr>
          <w:rFonts w:hint="eastAsia" w:ascii="宋体" w:hAnsi="宋体" w:cs="宋体"/>
          <w:color w:val="auto"/>
          <w:sz w:val="24"/>
          <w:highlight w:val="none"/>
        </w:rPr>
        <w:t>代理机构工作人员及其相关人员有法律法规所列与其他供应商有利害关系的，可以向采</w:t>
      </w:r>
    </w:p>
    <w:p w14:paraId="1E7CDA7F">
      <w:pPr>
        <w:spacing w:line="360" w:lineRule="auto"/>
        <w:ind w:left="900" w:hanging="900" w:hangingChars="375"/>
        <w:rPr>
          <w:rFonts w:ascii="宋体" w:hAnsi="宋体" w:cs="宋体"/>
          <w:color w:val="auto"/>
          <w:sz w:val="24"/>
          <w:highlight w:val="none"/>
        </w:rPr>
      </w:pPr>
      <w:r>
        <w:rPr>
          <w:rFonts w:hint="eastAsia" w:ascii="宋体" w:hAnsi="宋体" w:cs="宋体"/>
          <w:color w:val="auto"/>
          <w:sz w:val="24"/>
          <w:highlight w:val="none"/>
        </w:rPr>
        <w:t>购人或采购代理机构书面提出回避申请，并说明理由。</w:t>
      </w:r>
    </w:p>
    <w:p w14:paraId="211FFD73">
      <w:pPr>
        <w:pStyle w:val="5"/>
        <w:spacing w:before="0" w:after="0" w:line="360" w:lineRule="auto"/>
        <w:rPr>
          <w:rFonts w:hAnsi="宋体" w:cs="宋体"/>
          <w:color w:val="auto"/>
          <w:highlight w:val="none"/>
          <w:u w:val="none"/>
        </w:rPr>
      </w:pPr>
      <w:bookmarkStart w:id="208" w:name="_Toc13231"/>
      <w:bookmarkStart w:id="209" w:name="_Toc19087109"/>
      <w:bookmarkStart w:id="210" w:name="_Toc518923102"/>
      <w:r>
        <w:rPr>
          <w:rFonts w:hint="eastAsia" w:hAnsi="宋体" w:cs="宋体"/>
          <w:color w:val="auto"/>
          <w:highlight w:val="none"/>
          <w:u w:val="none"/>
        </w:rPr>
        <w:t>37.质疑与接收</w:t>
      </w:r>
      <w:bookmarkEnd w:id="208"/>
      <w:bookmarkEnd w:id="209"/>
      <w:bookmarkEnd w:id="210"/>
    </w:p>
    <w:p w14:paraId="2306E366">
      <w:pPr>
        <w:spacing w:line="360" w:lineRule="auto"/>
        <w:ind w:left="851" w:leftChars="68" w:hanging="708" w:hangingChars="295"/>
        <w:rPr>
          <w:rFonts w:hint="eastAsia" w:ascii="宋体" w:hAnsi="宋体" w:cs="宋体"/>
          <w:color w:val="auto"/>
          <w:sz w:val="24"/>
          <w:highlight w:val="none"/>
        </w:rPr>
      </w:pPr>
      <w:r>
        <w:rPr>
          <w:rFonts w:hint="eastAsia" w:ascii="宋体" w:hAnsi="宋体" w:cs="宋体"/>
          <w:color w:val="auto"/>
          <w:sz w:val="24"/>
          <w:highlight w:val="none"/>
        </w:rPr>
        <w:t>37.1供应商认为竞争性磋商文件、磋商过程和成交结果使自己的权益受到损害的，可</w:t>
      </w:r>
    </w:p>
    <w:p w14:paraId="634FEA42">
      <w:pPr>
        <w:spacing w:line="360" w:lineRule="auto"/>
        <w:ind w:left="851" w:leftChars="68" w:hanging="708" w:hangingChars="295"/>
        <w:rPr>
          <w:rFonts w:hint="eastAsia" w:ascii="宋体" w:hAnsi="宋体" w:cs="宋体"/>
          <w:color w:val="auto"/>
          <w:sz w:val="24"/>
          <w:highlight w:val="none"/>
        </w:rPr>
      </w:pPr>
      <w:r>
        <w:rPr>
          <w:rFonts w:hint="eastAsia" w:ascii="宋体" w:hAnsi="宋体" w:cs="宋体"/>
          <w:color w:val="auto"/>
          <w:sz w:val="24"/>
          <w:highlight w:val="none"/>
        </w:rPr>
        <w:t>以根据《中华人民共和国政府采购法》、《中华人民共和国政府采购法实施条例》和</w:t>
      </w:r>
    </w:p>
    <w:p w14:paraId="6A41CF6B">
      <w:pPr>
        <w:spacing w:line="360" w:lineRule="auto"/>
        <w:ind w:left="851" w:leftChars="68" w:hanging="708" w:hangingChars="295"/>
        <w:rPr>
          <w:rFonts w:hint="eastAsia" w:ascii="宋体" w:hAnsi="宋体" w:cs="宋体"/>
          <w:color w:val="auto"/>
          <w:sz w:val="24"/>
          <w:highlight w:val="none"/>
        </w:rPr>
      </w:pPr>
      <w:r>
        <w:rPr>
          <w:rFonts w:hint="eastAsia" w:ascii="宋体" w:hAnsi="宋体" w:cs="宋体"/>
          <w:color w:val="auto"/>
          <w:sz w:val="24"/>
          <w:highlight w:val="none"/>
        </w:rPr>
        <w:t>《政府采购质疑和投诉办法》的有关规定，依法向采购人或其委托的采购代理机构提</w:t>
      </w:r>
    </w:p>
    <w:p w14:paraId="48174802">
      <w:pPr>
        <w:spacing w:line="360" w:lineRule="auto"/>
        <w:ind w:left="851" w:leftChars="68" w:hanging="708" w:hangingChars="295"/>
        <w:rPr>
          <w:rFonts w:ascii="宋体" w:hAnsi="宋体" w:cs="宋体"/>
          <w:color w:val="auto"/>
          <w:sz w:val="24"/>
          <w:highlight w:val="none"/>
        </w:rPr>
      </w:pPr>
      <w:r>
        <w:rPr>
          <w:rFonts w:hint="eastAsia" w:ascii="宋体" w:hAnsi="宋体" w:cs="宋体"/>
          <w:color w:val="auto"/>
          <w:sz w:val="24"/>
          <w:highlight w:val="none"/>
        </w:rPr>
        <w:t>出质疑。</w:t>
      </w:r>
    </w:p>
    <w:p w14:paraId="3A477FC2">
      <w:pPr>
        <w:spacing w:line="360" w:lineRule="auto"/>
        <w:ind w:left="851" w:leftChars="68" w:hanging="708" w:hangingChars="295"/>
        <w:rPr>
          <w:rFonts w:hint="eastAsia" w:ascii="宋体" w:hAnsi="宋体" w:cs="宋体"/>
          <w:color w:val="auto"/>
          <w:sz w:val="24"/>
          <w:highlight w:val="none"/>
        </w:rPr>
      </w:pPr>
      <w:r>
        <w:rPr>
          <w:rFonts w:hint="eastAsia" w:ascii="宋体" w:hAnsi="宋体" w:cs="宋体"/>
          <w:color w:val="auto"/>
          <w:sz w:val="24"/>
          <w:highlight w:val="none"/>
        </w:rPr>
        <w:t>37.2质疑供应商应按照财政部制定的《政府采购质疑函范本》格式（可从财政部官方</w:t>
      </w:r>
    </w:p>
    <w:p w14:paraId="248C287E">
      <w:pPr>
        <w:spacing w:line="360" w:lineRule="auto"/>
        <w:ind w:left="851" w:leftChars="68" w:hanging="708" w:hangingChars="295"/>
        <w:rPr>
          <w:rFonts w:hint="eastAsia" w:ascii="宋体" w:hAnsi="宋体" w:cs="宋体"/>
          <w:color w:val="auto"/>
          <w:sz w:val="24"/>
          <w:highlight w:val="none"/>
        </w:rPr>
      </w:pPr>
      <w:r>
        <w:rPr>
          <w:rFonts w:hint="eastAsia" w:ascii="宋体" w:hAnsi="宋体" w:cs="宋体"/>
          <w:color w:val="auto"/>
          <w:sz w:val="24"/>
          <w:highlight w:val="none"/>
        </w:rPr>
        <w:t>网站下载）和《政府采购质疑和投诉办法》的要求，在法定质疑期内以书面形式提出</w:t>
      </w:r>
    </w:p>
    <w:p w14:paraId="195C8E6B">
      <w:pPr>
        <w:spacing w:line="360" w:lineRule="auto"/>
        <w:ind w:left="851" w:leftChars="68" w:hanging="708" w:hangingChars="295"/>
        <w:rPr>
          <w:rFonts w:ascii="宋体" w:hAnsi="宋体" w:cs="宋体"/>
          <w:color w:val="auto"/>
          <w:sz w:val="24"/>
          <w:highlight w:val="none"/>
        </w:rPr>
      </w:pPr>
      <w:r>
        <w:rPr>
          <w:rFonts w:hint="eastAsia" w:ascii="宋体" w:hAnsi="宋体" w:cs="宋体"/>
          <w:color w:val="auto"/>
          <w:sz w:val="24"/>
          <w:highlight w:val="none"/>
        </w:rPr>
        <w:t>质疑，针对同一采购程序环节的质疑应一次性提出。</w:t>
      </w:r>
    </w:p>
    <w:p w14:paraId="733AF4CD">
      <w:pPr>
        <w:spacing w:line="360" w:lineRule="auto"/>
        <w:rPr>
          <w:rFonts w:ascii="宋体" w:hAnsi="宋体" w:cs="宋体"/>
          <w:color w:val="auto"/>
          <w:sz w:val="24"/>
          <w:highlight w:val="none"/>
        </w:rPr>
      </w:pPr>
      <w:r>
        <w:rPr>
          <w:rFonts w:hint="eastAsia" w:ascii="宋体" w:hAnsi="宋体" w:cs="宋体"/>
          <w:color w:val="auto"/>
          <w:sz w:val="24"/>
          <w:highlight w:val="none"/>
        </w:rPr>
        <w:t>超出法定质疑期的、重复提出的、分次提出的或内容、形式不符合《政府采购质疑和投诉办法》的，质疑供应商将依法承担不利后果。</w:t>
      </w:r>
    </w:p>
    <w:p w14:paraId="1A30CAEF">
      <w:pPr>
        <w:keepNext w:val="0"/>
        <w:keepLines w:val="0"/>
        <w:pageBreakBefore w:val="0"/>
        <w:widowControl w:val="0"/>
        <w:kinsoku/>
        <w:wordWrap/>
        <w:overflowPunct/>
        <w:topLinePunct w:val="0"/>
        <w:autoSpaceDE/>
        <w:autoSpaceDN/>
        <w:bidi w:val="0"/>
        <w:adjustRightInd/>
        <w:snapToGrid/>
        <w:spacing w:line="360" w:lineRule="auto"/>
        <w:ind w:left="23" w:leftChars="11" w:firstLine="0" w:firstLineChars="0"/>
        <w:textAlignment w:val="auto"/>
        <w:rPr>
          <w:rFonts w:ascii="宋体" w:hAnsi="宋体" w:cs="宋体"/>
          <w:color w:val="auto"/>
          <w:sz w:val="24"/>
          <w:highlight w:val="none"/>
          <w:u w:val="single"/>
        </w:rPr>
      </w:pPr>
      <w:r>
        <w:rPr>
          <w:rFonts w:hint="eastAsia" w:ascii="宋体" w:hAnsi="宋体" w:cs="宋体"/>
          <w:color w:val="auto"/>
          <w:sz w:val="24"/>
          <w:highlight w:val="none"/>
        </w:rPr>
        <w:t>37.3采购人或采购代理机构质疑函接收部门、联系电话和通讯地址</w:t>
      </w:r>
      <w:r>
        <w:rPr>
          <w:rFonts w:hint="eastAsia" w:ascii="宋体" w:hAnsi="宋体" w:cs="宋体"/>
          <w:color w:val="auto"/>
          <w:sz w:val="24"/>
          <w:highlight w:val="none"/>
          <w:lang w:eastAsia="zh-CN"/>
        </w:rPr>
        <w:t>，</w:t>
      </w:r>
      <w:r>
        <w:rPr>
          <w:rFonts w:hint="eastAsia" w:ascii="宋体" w:hAnsi="宋体" w:cs="宋体"/>
          <w:color w:val="auto"/>
          <w:sz w:val="24"/>
          <w:highlight w:val="none"/>
        </w:rPr>
        <w:t>见</w:t>
      </w:r>
      <w:r>
        <w:rPr>
          <w:rFonts w:hint="eastAsia" w:ascii="宋体" w:hAnsi="宋体" w:cs="宋体"/>
          <w:color w:val="auto"/>
          <w:sz w:val="24"/>
          <w:highlight w:val="none"/>
          <w:u w:val="single"/>
        </w:rPr>
        <w:t>供应商须知资料表。</w:t>
      </w:r>
    </w:p>
    <w:p w14:paraId="35E9EFAD">
      <w:pPr>
        <w:pStyle w:val="5"/>
        <w:spacing w:before="0" w:after="0" w:line="360" w:lineRule="auto"/>
        <w:rPr>
          <w:rFonts w:hAnsi="宋体" w:cs="宋体"/>
          <w:color w:val="auto"/>
          <w:highlight w:val="none"/>
        </w:rPr>
      </w:pPr>
      <w:bookmarkStart w:id="211" w:name="_Toc31530"/>
      <w:bookmarkStart w:id="212" w:name="_Toc51176622"/>
      <w:r>
        <w:rPr>
          <w:rFonts w:hint="eastAsia" w:hAnsi="宋体" w:cs="宋体"/>
          <w:color w:val="auto"/>
          <w:highlight w:val="none"/>
        </w:rPr>
        <w:t>38.项目其他相关费用</w:t>
      </w:r>
      <w:bookmarkEnd w:id="211"/>
      <w:bookmarkEnd w:id="212"/>
    </w:p>
    <w:p w14:paraId="240E3198">
      <w:pPr>
        <w:spacing w:line="360" w:lineRule="auto"/>
        <w:rPr>
          <w:rFonts w:ascii="宋体" w:hAnsi="宋体" w:cs="宋体"/>
          <w:color w:val="auto"/>
          <w:sz w:val="24"/>
          <w:highlight w:val="none"/>
        </w:rPr>
      </w:pPr>
      <w:bookmarkStart w:id="213" w:name="_Toc411637995"/>
      <w:r>
        <w:rPr>
          <w:rFonts w:hint="eastAsia" w:ascii="宋体" w:hAnsi="宋体" w:cs="宋体"/>
          <w:color w:val="auto"/>
          <w:sz w:val="24"/>
          <w:highlight w:val="none"/>
        </w:rPr>
        <w:t>38.1成交服务费</w:t>
      </w:r>
      <w:bookmarkEnd w:id="213"/>
    </w:p>
    <w:p w14:paraId="7D606252">
      <w:pPr>
        <w:spacing w:line="360" w:lineRule="auto"/>
        <w:rPr>
          <w:rFonts w:ascii="宋体" w:hAnsi="宋体" w:cs="宋体"/>
          <w:color w:val="auto"/>
          <w:sz w:val="24"/>
          <w:highlight w:val="none"/>
        </w:rPr>
      </w:pPr>
      <w:r>
        <w:rPr>
          <w:rFonts w:hint="eastAsia" w:ascii="宋体" w:hAnsi="宋体" w:cs="宋体"/>
          <w:color w:val="auto"/>
          <w:sz w:val="24"/>
          <w:highlight w:val="none"/>
        </w:rPr>
        <w:t>成交服务费收取标准：</w:t>
      </w:r>
      <w:r>
        <w:rPr>
          <w:rFonts w:hint="eastAsia" w:ascii="宋体" w:hAnsi="宋体" w:cs="宋体"/>
          <w:color w:val="auto"/>
          <w:sz w:val="24"/>
          <w:highlight w:val="none"/>
          <w:u w:val="single"/>
        </w:rPr>
        <w:t>见供应商须知资料表。</w:t>
      </w:r>
    </w:p>
    <w:p w14:paraId="0EAFBDB9">
      <w:pPr>
        <w:spacing w:line="360" w:lineRule="auto"/>
        <w:rPr>
          <w:rFonts w:ascii="宋体" w:hAnsi="宋体" w:cs="宋体"/>
          <w:color w:val="auto"/>
          <w:sz w:val="24"/>
          <w:highlight w:val="none"/>
        </w:rPr>
      </w:pPr>
      <w:bookmarkStart w:id="214" w:name="_Toc411637996"/>
      <w:r>
        <w:rPr>
          <w:rFonts w:hint="eastAsia" w:ascii="宋体" w:hAnsi="宋体" w:cs="宋体"/>
          <w:color w:val="auto"/>
          <w:sz w:val="24"/>
          <w:highlight w:val="none"/>
        </w:rPr>
        <w:t>38.2公证费</w:t>
      </w:r>
      <w:bookmarkEnd w:id="214"/>
      <w:r>
        <w:rPr>
          <w:rFonts w:hint="eastAsia" w:ascii="宋体" w:hAnsi="宋体" w:cs="宋体"/>
          <w:color w:val="auto"/>
          <w:sz w:val="24"/>
          <w:highlight w:val="none"/>
        </w:rPr>
        <w:t>/见证律师费</w:t>
      </w:r>
    </w:p>
    <w:p w14:paraId="7A37F553">
      <w:pPr>
        <w:spacing w:line="360" w:lineRule="auto"/>
        <w:rPr>
          <w:rFonts w:ascii="宋体" w:hAnsi="宋体" w:cs="宋体"/>
          <w:color w:val="auto"/>
          <w:sz w:val="24"/>
          <w:highlight w:val="none"/>
          <w:lang w:val="en-GB"/>
        </w:rPr>
      </w:pPr>
      <w:r>
        <w:rPr>
          <w:rFonts w:hint="eastAsia" w:ascii="宋体" w:hAnsi="宋体" w:cs="宋体"/>
          <w:color w:val="auto"/>
          <w:sz w:val="24"/>
          <w:highlight w:val="none"/>
          <w:lang w:val="en-GB"/>
        </w:rPr>
        <w:t>公证费/见证律师费的收费标准：</w:t>
      </w:r>
      <w:r>
        <w:rPr>
          <w:rFonts w:hint="eastAsia" w:ascii="宋体" w:hAnsi="宋体" w:cs="宋体"/>
          <w:color w:val="auto"/>
          <w:sz w:val="24"/>
          <w:highlight w:val="none"/>
          <w:u w:val="single"/>
        </w:rPr>
        <w:t>见供应商须知资料表</w:t>
      </w:r>
      <w:r>
        <w:rPr>
          <w:rFonts w:hint="eastAsia" w:ascii="宋体" w:hAnsi="宋体" w:cs="宋体"/>
          <w:color w:val="auto"/>
          <w:sz w:val="24"/>
          <w:highlight w:val="none"/>
          <w:lang w:val="en-GB"/>
        </w:rPr>
        <w:t>。</w:t>
      </w:r>
    </w:p>
    <w:p w14:paraId="1509C146">
      <w:pPr>
        <w:spacing w:line="360" w:lineRule="auto"/>
        <w:rPr>
          <w:rFonts w:ascii="宋体" w:hAnsi="宋体" w:cs="宋体"/>
          <w:color w:val="auto"/>
          <w:sz w:val="24"/>
          <w:highlight w:val="none"/>
        </w:rPr>
      </w:pPr>
      <w:r>
        <w:rPr>
          <w:rFonts w:hint="eastAsia" w:ascii="宋体" w:hAnsi="宋体" w:cs="宋体"/>
          <w:color w:val="auto"/>
          <w:sz w:val="24"/>
          <w:highlight w:val="none"/>
        </w:rPr>
        <w:t>38.3政府采购专家评审费</w:t>
      </w:r>
    </w:p>
    <w:p w14:paraId="6C4FC8BA">
      <w:pPr>
        <w:spacing w:line="360" w:lineRule="auto"/>
        <w:rPr>
          <w:rFonts w:ascii="宋体" w:hAnsi="宋体" w:cs="宋体"/>
          <w:color w:val="auto"/>
          <w:highlight w:val="none"/>
        </w:rPr>
      </w:pPr>
      <w:r>
        <w:rPr>
          <w:rFonts w:hint="eastAsia" w:ascii="宋体" w:hAnsi="宋体" w:cs="宋体"/>
          <w:color w:val="auto"/>
          <w:highlight w:val="none"/>
        </w:rPr>
        <w:t>由采购人承担，按照山东省有关规定的标准执行。</w:t>
      </w:r>
    </w:p>
    <w:p w14:paraId="3CF0CF7B">
      <w:pPr>
        <w:pStyle w:val="5"/>
        <w:spacing w:line="360" w:lineRule="auto"/>
        <w:rPr>
          <w:rFonts w:hAnsi="宋体" w:cs="宋体"/>
          <w:color w:val="auto"/>
          <w:szCs w:val="28"/>
          <w:highlight w:val="none"/>
        </w:rPr>
      </w:pPr>
      <w:bookmarkStart w:id="215" w:name="_Toc51176623"/>
      <w:bookmarkStart w:id="216" w:name="_Toc4328"/>
      <w:r>
        <w:rPr>
          <w:rFonts w:hint="eastAsia" w:hAnsi="宋体" w:cs="宋体"/>
          <w:color w:val="auto"/>
          <w:szCs w:val="28"/>
          <w:highlight w:val="none"/>
        </w:rPr>
        <w:t>39</w:t>
      </w:r>
      <w:r>
        <w:rPr>
          <w:rFonts w:hint="eastAsia" w:hAnsi="宋体" w:cs="宋体"/>
          <w:color w:val="auto"/>
          <w:highlight w:val="none"/>
        </w:rPr>
        <w:t>.</w:t>
      </w:r>
      <w:r>
        <w:rPr>
          <w:rFonts w:hint="eastAsia" w:hAnsi="宋体" w:cs="宋体"/>
          <w:color w:val="auto"/>
          <w:szCs w:val="28"/>
          <w:highlight w:val="none"/>
        </w:rPr>
        <w:t>磋商文件解释权</w:t>
      </w:r>
      <w:bookmarkEnd w:id="215"/>
      <w:bookmarkEnd w:id="216"/>
    </w:p>
    <w:p w14:paraId="7E2CD71C">
      <w:pPr>
        <w:spacing w:line="360" w:lineRule="auto"/>
        <w:rPr>
          <w:rFonts w:ascii="宋体" w:hAnsi="宋体" w:cs="宋体"/>
          <w:color w:val="auto"/>
          <w:sz w:val="24"/>
          <w:highlight w:val="none"/>
          <w:lang w:val="en-GB"/>
        </w:rPr>
      </w:pPr>
      <w:r>
        <w:rPr>
          <w:rFonts w:hint="eastAsia" w:ascii="宋体" w:hAnsi="宋体" w:cs="宋体"/>
          <w:color w:val="auto"/>
          <w:sz w:val="24"/>
          <w:highlight w:val="none"/>
          <w:u w:val="single"/>
          <w:lang w:val="en-GB"/>
        </w:rPr>
        <w:t>见</w:t>
      </w:r>
      <w:r>
        <w:rPr>
          <w:rFonts w:hint="eastAsia" w:ascii="宋体" w:hAnsi="宋体" w:cs="宋体"/>
          <w:color w:val="auto"/>
          <w:sz w:val="24"/>
          <w:highlight w:val="none"/>
          <w:u w:val="single"/>
        </w:rPr>
        <w:t>供应商</w:t>
      </w:r>
      <w:r>
        <w:rPr>
          <w:rFonts w:hint="eastAsia" w:ascii="宋体" w:hAnsi="宋体" w:cs="宋体"/>
          <w:color w:val="auto"/>
          <w:sz w:val="24"/>
          <w:highlight w:val="none"/>
          <w:u w:val="single"/>
          <w:lang w:val="en-GB"/>
        </w:rPr>
        <w:t>须知资料表</w:t>
      </w:r>
      <w:r>
        <w:rPr>
          <w:rFonts w:hint="eastAsia" w:ascii="宋体" w:hAnsi="宋体" w:cs="宋体"/>
          <w:color w:val="auto"/>
          <w:sz w:val="24"/>
          <w:highlight w:val="none"/>
          <w:lang w:val="en-GB"/>
        </w:rPr>
        <w:t>。</w:t>
      </w:r>
    </w:p>
    <w:p w14:paraId="5EE4870D">
      <w:pPr>
        <w:widowControl/>
        <w:spacing w:line="360" w:lineRule="auto"/>
        <w:jc w:val="left"/>
        <w:rPr>
          <w:rFonts w:ascii="宋体" w:hAnsi="宋体" w:cs="宋体"/>
          <w:color w:val="auto"/>
          <w:sz w:val="24"/>
          <w:highlight w:val="none"/>
        </w:rPr>
      </w:pPr>
      <w:r>
        <w:rPr>
          <w:rFonts w:ascii="宋体" w:hAnsi="宋体" w:cs="Arial"/>
          <w:color w:val="auto"/>
          <w:sz w:val="24"/>
          <w:highlight w:val="none"/>
          <w:lang w:val="en-GB"/>
        </w:rPr>
        <w:br w:type="page"/>
      </w:r>
    </w:p>
    <w:p w14:paraId="795C11EF">
      <w:pPr>
        <w:spacing w:line="360" w:lineRule="auto"/>
        <w:jc w:val="center"/>
        <w:rPr>
          <w:rFonts w:ascii="宋体" w:hAnsi="宋体" w:cs="宋体"/>
          <w:color w:val="auto"/>
          <w:sz w:val="24"/>
          <w:highlight w:val="none"/>
          <w:lang w:val="en-GB"/>
        </w:rPr>
      </w:pPr>
    </w:p>
    <w:p w14:paraId="2D460DA8">
      <w:pPr>
        <w:spacing w:line="360" w:lineRule="auto"/>
        <w:jc w:val="center"/>
        <w:rPr>
          <w:rFonts w:ascii="宋体" w:hAnsi="宋体" w:cs="宋体"/>
          <w:color w:val="auto"/>
          <w:sz w:val="24"/>
          <w:highlight w:val="none"/>
          <w:lang w:val="en-GB"/>
        </w:rPr>
      </w:pPr>
    </w:p>
    <w:p w14:paraId="130E09B3">
      <w:pPr>
        <w:spacing w:line="360" w:lineRule="auto"/>
        <w:jc w:val="center"/>
        <w:rPr>
          <w:rFonts w:ascii="宋体" w:hAnsi="宋体" w:cs="宋体"/>
          <w:color w:val="auto"/>
          <w:sz w:val="24"/>
          <w:highlight w:val="none"/>
          <w:lang w:val="en-GB"/>
        </w:rPr>
      </w:pPr>
    </w:p>
    <w:p w14:paraId="6C7D96D4">
      <w:pPr>
        <w:spacing w:line="360" w:lineRule="auto"/>
        <w:jc w:val="center"/>
        <w:rPr>
          <w:rFonts w:ascii="宋体" w:hAnsi="宋体" w:cs="宋体"/>
          <w:color w:val="auto"/>
          <w:sz w:val="24"/>
          <w:highlight w:val="none"/>
          <w:lang w:val="en-GB"/>
        </w:rPr>
      </w:pPr>
    </w:p>
    <w:p w14:paraId="1C041E07">
      <w:pPr>
        <w:widowControl/>
        <w:spacing w:line="360" w:lineRule="auto"/>
        <w:jc w:val="center"/>
        <w:rPr>
          <w:rFonts w:ascii="宋体" w:hAnsi="宋体" w:cs="宋体"/>
          <w:b/>
          <w:color w:val="auto"/>
          <w:sz w:val="52"/>
          <w:szCs w:val="52"/>
          <w:highlight w:val="none"/>
        </w:rPr>
      </w:pPr>
      <w:r>
        <w:rPr>
          <w:rFonts w:hint="eastAsia" w:ascii="宋体" w:hAnsi="宋体" w:cs="宋体"/>
          <w:b/>
          <w:color w:val="auto"/>
          <w:sz w:val="52"/>
          <w:szCs w:val="52"/>
          <w:highlight w:val="none"/>
        </w:rPr>
        <w:t>政府采购竞争性磋商文件</w:t>
      </w:r>
    </w:p>
    <w:p w14:paraId="35725E5A">
      <w:pPr>
        <w:spacing w:line="360" w:lineRule="auto"/>
        <w:ind w:left="1080" w:leftChars="257" w:hanging="540"/>
        <w:jc w:val="center"/>
        <w:rPr>
          <w:rFonts w:ascii="宋体" w:hAnsi="宋体" w:cs="宋体"/>
          <w:b/>
          <w:color w:val="auto"/>
          <w:sz w:val="36"/>
          <w:szCs w:val="36"/>
          <w:highlight w:val="none"/>
        </w:rPr>
      </w:pPr>
    </w:p>
    <w:p w14:paraId="72089C65">
      <w:pPr>
        <w:spacing w:line="360" w:lineRule="auto"/>
        <w:ind w:left="1080" w:leftChars="257" w:hanging="540"/>
        <w:jc w:val="both"/>
        <w:rPr>
          <w:rFonts w:ascii="宋体" w:hAnsi="宋体" w:cs="宋体"/>
          <w:b/>
          <w:color w:val="auto"/>
          <w:sz w:val="52"/>
          <w:highlight w:val="none"/>
        </w:rPr>
      </w:pPr>
    </w:p>
    <w:p w14:paraId="1E4E6F45">
      <w:pPr>
        <w:spacing w:line="360" w:lineRule="auto"/>
        <w:ind w:left="1080" w:leftChars="257" w:hanging="540"/>
        <w:rPr>
          <w:rFonts w:ascii="宋体" w:hAnsi="宋体" w:cs="宋体"/>
          <w:b/>
          <w:color w:val="auto"/>
          <w:sz w:val="28"/>
          <w:highlight w:val="none"/>
        </w:rPr>
      </w:pPr>
    </w:p>
    <w:p w14:paraId="24A85AB0">
      <w:pPr>
        <w:spacing w:line="360" w:lineRule="auto"/>
        <w:ind w:left="1080" w:leftChars="257" w:hanging="540"/>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第二册</w:t>
      </w:r>
    </w:p>
    <w:p w14:paraId="5D2733C3">
      <w:pPr>
        <w:spacing w:line="360" w:lineRule="auto"/>
        <w:ind w:left="1080" w:leftChars="257" w:hanging="540"/>
        <w:rPr>
          <w:rFonts w:ascii="宋体" w:hAnsi="宋体" w:cs="宋体"/>
          <w:b/>
          <w:color w:val="auto"/>
          <w:sz w:val="28"/>
          <w:highlight w:val="none"/>
        </w:rPr>
      </w:pPr>
    </w:p>
    <w:p w14:paraId="66C6AAC2">
      <w:pPr>
        <w:spacing w:line="360" w:lineRule="auto"/>
        <w:ind w:left="645" w:leftChars="307" w:firstLine="904" w:firstLineChars="300"/>
        <w:jc w:val="left"/>
        <w:rPr>
          <w:rFonts w:hint="eastAsia" w:ascii="宋体" w:hAnsi="宋体" w:cs="宋体"/>
          <w:b/>
          <w:color w:val="auto"/>
          <w:sz w:val="30"/>
          <w:szCs w:val="30"/>
          <w:highlight w:val="none"/>
        </w:rPr>
      </w:pPr>
      <w:r>
        <w:rPr>
          <w:rFonts w:hint="eastAsia" w:ascii="宋体" w:hAnsi="宋体" w:cs="宋体"/>
          <w:b/>
          <w:color w:val="auto"/>
          <w:sz w:val="30"/>
          <w:szCs w:val="30"/>
          <w:highlight w:val="none"/>
        </w:rPr>
        <w:t>项目编号：SDGP371328000202402000171</w:t>
      </w:r>
    </w:p>
    <w:p w14:paraId="4E6FAD68">
      <w:pPr>
        <w:spacing w:line="360" w:lineRule="auto"/>
        <w:ind w:left="645" w:leftChars="307" w:firstLine="904" w:firstLineChars="300"/>
        <w:jc w:val="left"/>
        <w:rPr>
          <w:rFonts w:hint="eastAsia" w:ascii="宋体" w:hAnsi="宋体" w:cs="宋体"/>
          <w:b/>
          <w:color w:val="auto"/>
          <w:sz w:val="30"/>
          <w:szCs w:val="30"/>
          <w:highlight w:val="none"/>
          <w:lang w:val="en-US" w:eastAsia="zh-CN"/>
        </w:rPr>
      </w:pPr>
      <w:r>
        <w:rPr>
          <w:rFonts w:hint="eastAsia" w:ascii="宋体" w:hAnsi="宋体" w:cs="宋体"/>
          <w:b/>
          <w:color w:val="auto"/>
          <w:sz w:val="30"/>
          <w:szCs w:val="30"/>
          <w:highlight w:val="none"/>
        </w:rPr>
        <w:t>项目名称</w:t>
      </w:r>
      <w:r>
        <w:rPr>
          <w:rFonts w:hint="eastAsia" w:ascii="宋体" w:hAnsi="宋体" w:cs="宋体"/>
          <w:b/>
          <w:color w:val="auto"/>
          <w:sz w:val="30"/>
          <w:szCs w:val="30"/>
          <w:highlight w:val="none"/>
          <w:lang w:eastAsia="zh-CN"/>
        </w:rPr>
        <w:t>：</w:t>
      </w:r>
      <w:r>
        <w:rPr>
          <w:rFonts w:hint="eastAsia" w:ascii="宋体" w:hAnsi="宋体" w:cs="宋体"/>
          <w:b/>
          <w:color w:val="auto"/>
          <w:sz w:val="30"/>
          <w:szCs w:val="30"/>
          <w:highlight w:val="none"/>
          <w:lang w:val="en-US" w:eastAsia="zh-CN"/>
        </w:rPr>
        <w:t>蒙阴经济开发区园区绿化项目（A包）</w:t>
      </w:r>
    </w:p>
    <w:p w14:paraId="3802E814">
      <w:pPr>
        <w:spacing w:line="360" w:lineRule="auto"/>
        <w:ind w:left="645" w:leftChars="307" w:firstLine="904" w:firstLineChars="300"/>
        <w:jc w:val="left"/>
        <w:rPr>
          <w:rFonts w:ascii="宋体" w:hAnsi="宋体" w:cs="宋体"/>
          <w:b/>
          <w:color w:val="auto"/>
          <w:sz w:val="30"/>
          <w:szCs w:val="30"/>
          <w:highlight w:val="none"/>
        </w:rPr>
      </w:pPr>
      <w:r>
        <w:rPr>
          <w:rFonts w:hint="eastAsia" w:ascii="宋体" w:hAnsi="宋体" w:cs="宋体"/>
          <w:b/>
          <w:color w:val="auto"/>
          <w:sz w:val="30"/>
          <w:szCs w:val="30"/>
          <w:highlight w:val="none"/>
        </w:rPr>
        <w:t>项目包号：A包</w:t>
      </w:r>
    </w:p>
    <w:p w14:paraId="6BB47041">
      <w:pPr>
        <w:spacing w:line="360" w:lineRule="auto"/>
        <w:ind w:left="1080" w:leftChars="257" w:hanging="540"/>
        <w:jc w:val="center"/>
        <w:rPr>
          <w:rFonts w:ascii="宋体" w:hAnsi="宋体" w:cs="宋体"/>
          <w:b/>
          <w:color w:val="auto"/>
          <w:sz w:val="52"/>
          <w:highlight w:val="none"/>
        </w:rPr>
      </w:pPr>
    </w:p>
    <w:p w14:paraId="06CFEBEF">
      <w:pPr>
        <w:spacing w:line="360" w:lineRule="auto"/>
        <w:ind w:left="1080" w:leftChars="257" w:hanging="540"/>
        <w:jc w:val="center"/>
        <w:rPr>
          <w:rFonts w:ascii="宋体" w:hAnsi="宋体" w:cs="宋体"/>
          <w:b/>
          <w:color w:val="auto"/>
          <w:sz w:val="32"/>
          <w:szCs w:val="32"/>
          <w:highlight w:val="none"/>
        </w:rPr>
      </w:pPr>
    </w:p>
    <w:p w14:paraId="542D6074">
      <w:pPr>
        <w:spacing w:line="360" w:lineRule="auto"/>
        <w:ind w:firstLine="1285" w:firstLineChars="400"/>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采购人</w:t>
      </w:r>
      <w:r>
        <w:rPr>
          <w:rFonts w:hint="eastAsia" w:ascii="宋体" w:hAnsi="宋体" w:cs="宋体"/>
          <w:b/>
          <w:bCs/>
          <w:color w:val="auto"/>
          <w:sz w:val="32"/>
          <w:szCs w:val="32"/>
          <w:highlight w:val="none"/>
          <w:lang w:eastAsia="zh-CN"/>
        </w:rPr>
        <w:t>：</w:t>
      </w:r>
      <w:r>
        <w:rPr>
          <w:rFonts w:hint="eastAsia" w:ascii="宋体" w:hAnsi="宋体" w:cs="黑体"/>
          <w:b/>
          <w:bCs/>
          <w:color w:val="auto"/>
          <w:sz w:val="32"/>
          <w:szCs w:val="32"/>
          <w:highlight w:val="none"/>
          <w:lang w:eastAsia="zh-CN"/>
        </w:rPr>
        <w:t xml:space="preserve">山东蒙阴经济开发区管理委员会 </w:t>
      </w:r>
    </w:p>
    <w:p w14:paraId="02DBD803">
      <w:pPr>
        <w:spacing w:line="360" w:lineRule="auto"/>
        <w:ind w:firstLine="1282" w:firstLineChars="399"/>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采购代理机构：</w:t>
      </w:r>
      <w:r>
        <w:rPr>
          <w:rFonts w:hint="eastAsia" w:ascii="宋体" w:hAnsi="宋体" w:cs="黑体"/>
          <w:b/>
          <w:bCs/>
          <w:color w:val="auto"/>
          <w:sz w:val="32"/>
          <w:szCs w:val="32"/>
          <w:highlight w:val="none"/>
          <w:lang w:eastAsia="zh-CN"/>
        </w:rPr>
        <w:t>临沂华屹工程项目管理咨询有限公司</w:t>
      </w:r>
    </w:p>
    <w:p w14:paraId="7B00DD08">
      <w:pPr>
        <w:spacing w:line="360" w:lineRule="auto"/>
        <w:ind w:firstLine="1285" w:firstLineChars="400"/>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发出日期：</w:t>
      </w:r>
      <w:r>
        <w:rPr>
          <w:rFonts w:hint="eastAsia" w:ascii="宋体" w:hAnsi="宋体" w:cs="宋体"/>
          <w:b/>
          <w:bCs/>
          <w:color w:val="auto"/>
          <w:sz w:val="32"/>
          <w:szCs w:val="32"/>
          <w:highlight w:val="none"/>
          <w:lang w:eastAsia="zh-CN"/>
        </w:rPr>
        <w:t>202</w:t>
      </w:r>
      <w:r>
        <w:rPr>
          <w:rFonts w:hint="eastAsia" w:ascii="宋体" w:hAnsi="宋体" w:cs="宋体"/>
          <w:b/>
          <w:bCs/>
          <w:color w:val="auto"/>
          <w:sz w:val="32"/>
          <w:szCs w:val="32"/>
          <w:highlight w:val="none"/>
          <w:lang w:val="en-US" w:eastAsia="zh-CN"/>
        </w:rPr>
        <w:t>4</w:t>
      </w:r>
      <w:r>
        <w:rPr>
          <w:rFonts w:hint="eastAsia" w:ascii="宋体" w:hAnsi="宋体" w:cs="宋体"/>
          <w:b/>
          <w:bCs/>
          <w:color w:val="auto"/>
          <w:sz w:val="32"/>
          <w:szCs w:val="32"/>
          <w:highlight w:val="none"/>
          <w:lang w:eastAsia="zh-CN"/>
        </w:rPr>
        <w:t>年</w:t>
      </w:r>
      <w:r>
        <w:rPr>
          <w:rFonts w:hint="eastAsia" w:ascii="宋体" w:hAnsi="宋体" w:cs="宋体"/>
          <w:b/>
          <w:bCs/>
          <w:color w:val="auto"/>
          <w:sz w:val="32"/>
          <w:szCs w:val="32"/>
          <w:highlight w:val="none"/>
          <w:lang w:val="en-US" w:eastAsia="zh-CN"/>
        </w:rPr>
        <w:t>9</w:t>
      </w:r>
      <w:r>
        <w:rPr>
          <w:rFonts w:hint="eastAsia" w:ascii="宋体" w:hAnsi="宋体" w:cs="宋体"/>
          <w:b/>
          <w:bCs/>
          <w:color w:val="auto"/>
          <w:sz w:val="32"/>
          <w:szCs w:val="32"/>
          <w:highlight w:val="none"/>
          <w:lang w:eastAsia="zh-CN"/>
        </w:rPr>
        <w:t>月</w:t>
      </w:r>
    </w:p>
    <w:p w14:paraId="4E88348A">
      <w:pPr>
        <w:spacing w:line="360" w:lineRule="auto"/>
        <w:ind w:left="1079" w:leftChars="257" w:hanging="539"/>
        <w:jc w:val="center"/>
        <w:rPr>
          <w:rFonts w:ascii="宋体" w:hAnsi="宋体" w:cs="宋体"/>
          <w:b/>
          <w:color w:val="auto"/>
          <w:sz w:val="32"/>
          <w:highlight w:val="none"/>
        </w:rPr>
      </w:pPr>
      <w:r>
        <w:rPr>
          <w:rFonts w:hint="eastAsia" w:ascii="宋体" w:hAnsi="宋体" w:cs="宋体"/>
          <w:b/>
          <w:color w:val="auto"/>
          <w:sz w:val="52"/>
          <w:highlight w:val="none"/>
        </w:rPr>
        <w:br w:type="page"/>
      </w:r>
      <w:r>
        <w:rPr>
          <w:rFonts w:hint="eastAsia" w:ascii="宋体" w:hAnsi="宋体" w:cs="宋体"/>
          <w:b/>
          <w:color w:val="auto"/>
          <w:sz w:val="32"/>
          <w:highlight w:val="none"/>
        </w:rPr>
        <w:t>目录</w:t>
      </w:r>
    </w:p>
    <w:p w14:paraId="66E4B47F">
      <w:pPr>
        <w:spacing w:line="360" w:lineRule="auto"/>
        <w:ind w:left="1079" w:leftChars="257" w:hanging="539"/>
        <w:jc w:val="center"/>
        <w:rPr>
          <w:rFonts w:ascii="宋体" w:hAnsi="宋体" w:cs="宋体"/>
          <w:b/>
          <w:color w:val="auto"/>
          <w:sz w:val="32"/>
          <w:szCs w:val="32"/>
          <w:highlight w:val="none"/>
        </w:rPr>
      </w:pPr>
    </w:p>
    <w:p w14:paraId="7BF21BC1">
      <w:pPr>
        <w:spacing w:line="360" w:lineRule="auto"/>
        <w:ind w:left="1079" w:leftChars="257" w:hanging="539"/>
        <w:jc w:val="center"/>
        <w:rPr>
          <w:rFonts w:ascii="宋体" w:hAnsi="宋体" w:cs="宋体"/>
          <w:b/>
          <w:color w:val="auto"/>
          <w:sz w:val="32"/>
          <w:szCs w:val="32"/>
          <w:highlight w:val="none"/>
        </w:rPr>
      </w:pPr>
    </w:p>
    <w:p w14:paraId="48CB87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36"/>
          <w:szCs w:val="36"/>
          <w:highlight w:val="none"/>
          <w:lang w:val="en-US" w:eastAsia="zh-CN"/>
        </w:rPr>
      </w:pPr>
      <w:bookmarkStart w:id="217" w:name="_Toc32177"/>
      <w:r>
        <w:rPr>
          <w:rFonts w:hint="eastAsia" w:ascii="宋体" w:hAnsi="宋体" w:cs="宋体"/>
          <w:color w:val="auto"/>
          <w:sz w:val="36"/>
          <w:szCs w:val="36"/>
          <w:highlight w:val="none"/>
        </w:rPr>
        <w:t>第2章采购</w:t>
      </w:r>
      <w:bookmarkEnd w:id="217"/>
      <w:r>
        <w:rPr>
          <w:rFonts w:hint="eastAsia" w:ascii="宋体" w:hAnsi="宋体" w:cs="宋体"/>
          <w:color w:val="auto"/>
          <w:sz w:val="36"/>
          <w:szCs w:val="36"/>
          <w:highlight w:val="none"/>
          <w:lang w:val="en-US" w:eastAsia="zh-CN"/>
        </w:rPr>
        <w:t>公告</w:t>
      </w:r>
    </w:p>
    <w:p w14:paraId="1008DC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s="宋体"/>
          <w:color w:val="auto"/>
          <w:sz w:val="36"/>
          <w:szCs w:val="36"/>
          <w:highlight w:val="none"/>
        </w:rPr>
      </w:pPr>
      <w:bookmarkStart w:id="218" w:name="_Toc23291"/>
      <w:r>
        <w:rPr>
          <w:rFonts w:hint="eastAsia" w:ascii="宋体" w:hAnsi="宋体" w:cs="宋体"/>
          <w:color w:val="auto"/>
          <w:sz w:val="36"/>
          <w:szCs w:val="36"/>
          <w:highlight w:val="none"/>
        </w:rPr>
        <w:t>第3章供应商须知资料表</w:t>
      </w:r>
      <w:bookmarkEnd w:id="218"/>
    </w:p>
    <w:p w14:paraId="05F6EB7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sz w:val="36"/>
          <w:szCs w:val="36"/>
          <w:highlight w:val="none"/>
          <w:lang w:val="en-US" w:eastAsia="zh-CN"/>
        </w:rPr>
      </w:pPr>
      <w:bookmarkStart w:id="219" w:name="_Toc18802"/>
      <w:r>
        <w:rPr>
          <w:rFonts w:hint="eastAsia" w:ascii="宋体" w:hAnsi="宋体" w:cs="宋体"/>
          <w:color w:val="auto"/>
          <w:sz w:val="36"/>
          <w:szCs w:val="36"/>
          <w:highlight w:val="none"/>
        </w:rPr>
        <w:t>第4章</w:t>
      </w:r>
      <w:bookmarkEnd w:id="219"/>
      <w:r>
        <w:rPr>
          <w:rFonts w:hint="eastAsia" w:ascii="宋体" w:hAnsi="宋体" w:cs="宋体"/>
          <w:color w:val="auto"/>
          <w:sz w:val="36"/>
          <w:szCs w:val="44"/>
          <w:highlight w:val="none"/>
          <w:lang w:val="en-US" w:eastAsia="zh-CN"/>
        </w:rPr>
        <w:t>项目情况</w:t>
      </w:r>
    </w:p>
    <w:p w14:paraId="04F7B8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s="宋体"/>
          <w:color w:val="auto"/>
          <w:sz w:val="36"/>
          <w:szCs w:val="36"/>
          <w:highlight w:val="none"/>
        </w:rPr>
      </w:pPr>
      <w:bookmarkStart w:id="220" w:name="_Toc30525"/>
      <w:r>
        <w:rPr>
          <w:rFonts w:hint="eastAsia" w:ascii="宋体" w:hAnsi="宋体" w:cs="宋体"/>
          <w:color w:val="auto"/>
          <w:sz w:val="36"/>
          <w:szCs w:val="36"/>
          <w:highlight w:val="none"/>
        </w:rPr>
        <w:t>第5章评审方法和标准</w:t>
      </w:r>
      <w:bookmarkEnd w:id="220"/>
    </w:p>
    <w:p w14:paraId="28236CB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宋体" w:hAnsi="宋体" w:cs="宋体"/>
          <w:color w:val="auto"/>
          <w:sz w:val="36"/>
          <w:szCs w:val="36"/>
          <w:highlight w:val="none"/>
        </w:rPr>
      </w:pPr>
      <w:bookmarkStart w:id="221" w:name="_Toc7611"/>
      <w:r>
        <w:rPr>
          <w:rFonts w:hint="eastAsia" w:ascii="宋体" w:hAnsi="宋体" w:cs="宋体"/>
          <w:color w:val="auto"/>
          <w:sz w:val="36"/>
          <w:szCs w:val="36"/>
          <w:highlight w:val="none"/>
        </w:rPr>
        <w:t>第6章响应文件格式</w:t>
      </w:r>
      <w:bookmarkEnd w:id="221"/>
    </w:p>
    <w:p w14:paraId="7660F0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宋体" w:hAnsi="宋体" w:cs="宋体"/>
          <w:color w:val="auto"/>
          <w:sz w:val="36"/>
          <w:szCs w:val="36"/>
          <w:highlight w:val="none"/>
        </w:rPr>
      </w:pPr>
      <w:bookmarkStart w:id="222" w:name="_Toc2130"/>
      <w:r>
        <w:rPr>
          <w:rFonts w:hint="eastAsia" w:ascii="宋体" w:hAnsi="宋体" w:cs="宋体"/>
          <w:color w:val="auto"/>
          <w:sz w:val="36"/>
          <w:szCs w:val="36"/>
          <w:highlight w:val="none"/>
        </w:rPr>
        <w:t>第7章政府采购合同格式</w:t>
      </w:r>
      <w:bookmarkEnd w:id="222"/>
    </w:p>
    <w:p w14:paraId="1946A5D0">
      <w:pPr>
        <w:spacing w:line="360" w:lineRule="auto"/>
        <w:ind w:left="1079" w:leftChars="257" w:hanging="539"/>
        <w:jc w:val="center"/>
        <w:rPr>
          <w:rFonts w:ascii="宋体" w:hAnsi="宋体" w:cs="宋体"/>
          <w:b/>
          <w:color w:val="auto"/>
          <w:sz w:val="52"/>
          <w:szCs w:val="52"/>
          <w:highlight w:val="none"/>
        </w:rPr>
      </w:pPr>
    </w:p>
    <w:p w14:paraId="20DE24B7">
      <w:pPr>
        <w:spacing w:line="360" w:lineRule="auto"/>
        <w:ind w:left="1079" w:leftChars="257" w:hanging="539"/>
        <w:jc w:val="center"/>
        <w:rPr>
          <w:rFonts w:ascii="宋体" w:hAnsi="宋体" w:cs="宋体"/>
          <w:b/>
          <w:color w:val="auto"/>
          <w:sz w:val="32"/>
          <w:szCs w:val="32"/>
          <w:highlight w:val="none"/>
        </w:rPr>
      </w:pPr>
    </w:p>
    <w:p w14:paraId="49355CEA">
      <w:pPr>
        <w:spacing w:line="360" w:lineRule="auto"/>
        <w:ind w:left="1079" w:leftChars="257" w:hanging="539"/>
        <w:jc w:val="center"/>
        <w:rPr>
          <w:rFonts w:ascii="宋体" w:hAnsi="宋体"/>
          <w:b/>
          <w:color w:val="auto"/>
          <w:sz w:val="32"/>
          <w:szCs w:val="32"/>
          <w:highlight w:val="none"/>
        </w:rPr>
      </w:pPr>
    </w:p>
    <w:p w14:paraId="2A5AB163">
      <w:pPr>
        <w:spacing w:line="360" w:lineRule="auto"/>
        <w:ind w:left="1079" w:leftChars="257" w:hanging="539"/>
        <w:jc w:val="center"/>
        <w:rPr>
          <w:rFonts w:ascii="宋体" w:hAnsi="宋体"/>
          <w:b/>
          <w:color w:val="auto"/>
          <w:sz w:val="32"/>
          <w:szCs w:val="32"/>
          <w:highlight w:val="none"/>
        </w:rPr>
      </w:pPr>
    </w:p>
    <w:p w14:paraId="26848A05">
      <w:pPr>
        <w:spacing w:line="360" w:lineRule="auto"/>
        <w:ind w:left="1079" w:leftChars="257" w:hanging="539"/>
        <w:jc w:val="center"/>
        <w:rPr>
          <w:rFonts w:ascii="宋体" w:hAnsi="宋体"/>
          <w:b/>
          <w:color w:val="auto"/>
          <w:sz w:val="32"/>
          <w:szCs w:val="32"/>
          <w:highlight w:val="none"/>
        </w:rPr>
      </w:pPr>
    </w:p>
    <w:p w14:paraId="7BB483B8">
      <w:pPr>
        <w:spacing w:line="360" w:lineRule="auto"/>
        <w:ind w:left="1079" w:leftChars="257" w:hanging="539"/>
        <w:jc w:val="center"/>
        <w:rPr>
          <w:rFonts w:ascii="宋体" w:hAnsi="宋体"/>
          <w:b/>
          <w:color w:val="auto"/>
          <w:sz w:val="32"/>
          <w:szCs w:val="32"/>
          <w:highlight w:val="none"/>
        </w:rPr>
      </w:pPr>
    </w:p>
    <w:p w14:paraId="213A9108">
      <w:pPr>
        <w:spacing w:line="360" w:lineRule="auto"/>
        <w:ind w:left="1079" w:leftChars="257" w:hanging="539"/>
        <w:jc w:val="center"/>
        <w:rPr>
          <w:rFonts w:ascii="宋体" w:hAnsi="宋体"/>
          <w:b/>
          <w:color w:val="auto"/>
          <w:sz w:val="32"/>
          <w:szCs w:val="32"/>
          <w:highlight w:val="none"/>
        </w:rPr>
      </w:pPr>
    </w:p>
    <w:p w14:paraId="3D0E4A5B">
      <w:pPr>
        <w:spacing w:line="360" w:lineRule="auto"/>
        <w:ind w:left="1079" w:leftChars="257" w:hanging="539"/>
        <w:jc w:val="center"/>
        <w:rPr>
          <w:rFonts w:ascii="宋体" w:hAnsi="宋体"/>
          <w:b/>
          <w:color w:val="auto"/>
          <w:sz w:val="32"/>
          <w:szCs w:val="32"/>
          <w:highlight w:val="none"/>
        </w:rPr>
      </w:pPr>
    </w:p>
    <w:p w14:paraId="37CE9A52">
      <w:pPr>
        <w:spacing w:line="360" w:lineRule="auto"/>
        <w:ind w:left="1079" w:leftChars="257" w:hanging="539"/>
        <w:jc w:val="center"/>
        <w:rPr>
          <w:rFonts w:ascii="宋体" w:hAnsi="宋体"/>
          <w:b/>
          <w:color w:val="auto"/>
          <w:sz w:val="32"/>
          <w:szCs w:val="32"/>
          <w:highlight w:val="none"/>
        </w:rPr>
      </w:pPr>
    </w:p>
    <w:p w14:paraId="65B8459D">
      <w:pPr>
        <w:spacing w:line="360" w:lineRule="auto"/>
        <w:ind w:left="1079" w:leftChars="257" w:hanging="539"/>
        <w:jc w:val="center"/>
        <w:rPr>
          <w:rFonts w:ascii="宋体" w:hAnsi="宋体"/>
          <w:b/>
          <w:color w:val="auto"/>
          <w:sz w:val="32"/>
          <w:szCs w:val="32"/>
          <w:highlight w:val="none"/>
        </w:rPr>
      </w:pPr>
    </w:p>
    <w:p w14:paraId="61E61D7C">
      <w:pPr>
        <w:spacing w:line="360" w:lineRule="auto"/>
        <w:ind w:left="1079" w:leftChars="257" w:hanging="539"/>
        <w:jc w:val="center"/>
        <w:rPr>
          <w:rFonts w:ascii="宋体" w:hAnsi="宋体"/>
          <w:b/>
          <w:color w:val="auto"/>
          <w:sz w:val="32"/>
          <w:szCs w:val="32"/>
          <w:highlight w:val="none"/>
        </w:rPr>
      </w:pPr>
    </w:p>
    <w:p w14:paraId="00525D22">
      <w:pPr>
        <w:spacing w:line="360" w:lineRule="auto"/>
        <w:ind w:left="1079" w:leftChars="257" w:hanging="539"/>
        <w:jc w:val="center"/>
        <w:rPr>
          <w:rFonts w:ascii="宋体" w:hAnsi="宋体"/>
          <w:b/>
          <w:color w:val="auto"/>
          <w:sz w:val="32"/>
          <w:szCs w:val="32"/>
          <w:highlight w:val="none"/>
        </w:rPr>
      </w:pPr>
    </w:p>
    <w:p w14:paraId="079E7F8C">
      <w:pPr>
        <w:pStyle w:val="2"/>
        <w:tabs>
          <w:tab w:val="left" w:pos="0"/>
        </w:tabs>
        <w:spacing w:before="0" w:after="0" w:line="360" w:lineRule="auto"/>
        <w:rPr>
          <w:rFonts w:hint="eastAsia" w:ascii="宋体" w:hAnsi="宋体" w:eastAsia="宋体" w:cs="宋体"/>
          <w:color w:val="auto"/>
          <w:highlight w:val="none"/>
          <w:lang w:val="en-US" w:eastAsia="zh-CN"/>
        </w:rPr>
      </w:pPr>
      <w:bookmarkStart w:id="223" w:name="_Toc26839"/>
      <w:bookmarkStart w:id="224" w:name="_Toc8180"/>
      <w:r>
        <w:rPr>
          <w:rFonts w:hint="eastAsia" w:hAnsi="宋体" w:cs="宋体"/>
          <w:color w:val="auto"/>
          <w:highlight w:val="none"/>
        </w:rPr>
        <w:t>第2章</w:t>
      </w:r>
      <w:bookmarkStart w:id="225" w:name="_Toc4766813"/>
      <w:r>
        <w:rPr>
          <w:rFonts w:hint="eastAsia" w:hAnsi="宋体" w:cs="宋体"/>
          <w:color w:val="auto"/>
          <w:highlight w:val="none"/>
          <w:lang w:val="en-US" w:eastAsia="zh-CN"/>
        </w:rPr>
        <w:t xml:space="preserve"> </w:t>
      </w:r>
      <w:r>
        <w:rPr>
          <w:rFonts w:hint="eastAsia" w:hAnsi="宋体" w:cs="宋体"/>
          <w:color w:val="auto"/>
          <w:highlight w:val="none"/>
        </w:rPr>
        <w:t>采购</w:t>
      </w:r>
      <w:bookmarkEnd w:id="223"/>
      <w:bookmarkEnd w:id="224"/>
      <w:bookmarkEnd w:id="225"/>
      <w:r>
        <w:rPr>
          <w:rFonts w:hint="eastAsia" w:hAnsi="宋体" w:cs="宋体"/>
          <w:color w:val="auto"/>
          <w:highlight w:val="none"/>
          <w:lang w:val="en-US" w:eastAsia="zh-CN"/>
        </w:rPr>
        <w:t>公告</w:t>
      </w:r>
    </w:p>
    <w:p w14:paraId="5B61B1BE">
      <w:pPr>
        <w:rPr>
          <w:color w:val="auto"/>
        </w:rPr>
      </w:pPr>
      <w:bookmarkStart w:id="226" w:name="_Toc512937850"/>
    </w:p>
    <w:tbl>
      <w:tblPr>
        <w:tblStyle w:val="19"/>
        <w:tblW w:w="5343"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9726"/>
      </w:tblGrid>
      <w:tr w14:paraId="7AD926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391" w:hRule="atLeast"/>
          <w:jc w:val="center"/>
        </w:trPr>
        <w:tc>
          <w:tcPr>
            <w:tcW w:w="5000" w:type="pct"/>
            <w:tcBorders>
              <w:top w:val="outset" w:color="auto" w:sz="8" w:space="0"/>
              <w:left w:val="outset" w:color="auto" w:sz="8" w:space="0"/>
              <w:bottom w:val="outset" w:color="auto" w:sz="8" w:space="0"/>
              <w:right w:val="outset" w:color="auto" w:sz="8" w:space="0"/>
            </w:tcBorders>
            <w:noWrap w:val="0"/>
            <w:tcMar>
              <w:top w:w="15" w:type="dxa"/>
              <w:left w:w="15" w:type="dxa"/>
              <w:bottom w:w="15" w:type="dxa"/>
              <w:right w:w="15" w:type="dxa"/>
            </w:tcMar>
            <w:vAlign w:val="center"/>
          </w:tcPr>
          <w:p w14:paraId="341AD3EE">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项目概况：</w:t>
            </w:r>
          </w:p>
        </w:tc>
      </w:tr>
      <w:tr w14:paraId="4941BB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19" w:hRule="atLeast"/>
          <w:jc w:val="center"/>
        </w:trPr>
        <w:tc>
          <w:tcPr>
            <w:tcW w:w="5000" w:type="pct"/>
            <w:tcBorders>
              <w:top w:val="nil"/>
              <w:left w:val="outset" w:color="auto" w:sz="8" w:space="0"/>
              <w:bottom w:val="outset" w:color="auto" w:sz="8" w:space="0"/>
              <w:right w:val="outset" w:color="auto" w:sz="8" w:space="0"/>
            </w:tcBorders>
            <w:noWrap w:val="0"/>
            <w:tcMar>
              <w:top w:w="15" w:type="dxa"/>
              <w:left w:w="15" w:type="dxa"/>
              <w:bottom w:w="15" w:type="dxa"/>
              <w:right w:w="15" w:type="dxa"/>
            </w:tcMar>
            <w:vAlign w:val="center"/>
          </w:tcPr>
          <w:p w14:paraId="650D700F">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cs="宋体"/>
                <w:color w:val="auto"/>
                <w:highlight w:val="none"/>
                <w:lang w:val="en-US" w:eastAsia="zh-CN"/>
              </w:rPr>
              <w:t>蒙阴经济开发区园区绿化项目（A包）</w:t>
            </w:r>
            <w:r>
              <w:rPr>
                <w:rFonts w:hint="eastAsia" w:ascii="宋体" w:hAnsi="宋体" w:eastAsia="宋体" w:cs="宋体"/>
                <w:color w:val="auto"/>
                <w:highlight w:val="none"/>
                <w:lang w:val="en-US" w:eastAsia="zh-CN"/>
              </w:rPr>
              <w:t>的潜在供应商应在临沂市公共资源交易网(</w:t>
            </w:r>
            <w:r>
              <w:rPr>
                <w:rFonts w:hint="eastAsia" w:ascii="宋体" w:hAnsi="宋体" w:eastAsia="宋体" w:cs="宋体"/>
                <w:color w:val="auto"/>
                <w:highlight w:val="none"/>
                <w:lang w:val="en-US" w:eastAsia="zh-CN"/>
              </w:rPr>
              <w:fldChar w:fldCharType="begin"/>
            </w:r>
            <w:r>
              <w:rPr>
                <w:rFonts w:hint="eastAsia" w:ascii="宋体" w:hAnsi="宋体" w:eastAsia="宋体" w:cs="宋体"/>
                <w:color w:val="auto"/>
                <w:highlight w:val="none"/>
                <w:lang w:val="en-US" w:eastAsia="zh-CN"/>
              </w:rPr>
              <w:instrText xml:space="preserve"> HYPERLINK "http://ggzyjy.linyi.gov.cn/" </w:instrText>
            </w:r>
            <w:r>
              <w:rPr>
                <w:rFonts w:hint="eastAsia" w:ascii="宋体" w:hAnsi="宋体" w:eastAsia="宋体" w:cs="宋体"/>
                <w:color w:val="auto"/>
                <w:highlight w:val="none"/>
                <w:lang w:val="en-US" w:eastAsia="zh-CN"/>
              </w:rPr>
              <w:fldChar w:fldCharType="separate"/>
            </w:r>
            <w:r>
              <w:rPr>
                <w:rFonts w:hint="eastAsia" w:ascii="宋体" w:hAnsi="宋体" w:eastAsia="宋体" w:cs="宋体"/>
                <w:color w:val="auto"/>
                <w:highlight w:val="none"/>
                <w:lang w:val="en-US" w:eastAsia="zh-CN"/>
              </w:rPr>
              <w:t>http://ggzyjy.linyi.gov.cn</w:t>
            </w:r>
            <w:r>
              <w:rPr>
                <w:rFonts w:hint="eastAsia" w:ascii="宋体" w:hAnsi="宋体" w:eastAsia="宋体" w:cs="宋体"/>
                <w:color w:val="auto"/>
                <w:highlight w:val="none"/>
                <w:lang w:val="en-US" w:eastAsia="zh-CN"/>
              </w:rPr>
              <w:fldChar w:fldCharType="end"/>
            </w:r>
            <w:r>
              <w:rPr>
                <w:rFonts w:hint="eastAsia" w:ascii="宋体" w:hAnsi="宋体" w:eastAsia="宋体" w:cs="宋体"/>
                <w:color w:val="auto"/>
                <w:highlight w:val="none"/>
                <w:lang w:val="en-US" w:eastAsia="zh-CN"/>
              </w:rPr>
              <w:t>)获取采购文件，并于202</w:t>
            </w:r>
            <w:r>
              <w:rPr>
                <w:rFonts w:hint="eastAsia" w:cs="宋体"/>
                <w:color w:val="auto"/>
                <w:highlight w:val="none"/>
                <w:lang w:val="en-US" w:eastAsia="zh-CN"/>
              </w:rPr>
              <w:t>4</w:t>
            </w:r>
            <w:r>
              <w:rPr>
                <w:rFonts w:hint="eastAsia" w:ascii="宋体" w:hAnsi="宋体" w:eastAsia="宋体" w:cs="宋体"/>
                <w:color w:val="auto"/>
                <w:highlight w:val="none"/>
                <w:lang w:val="en-US" w:eastAsia="zh-CN"/>
              </w:rPr>
              <w:t>-</w:t>
            </w:r>
            <w:r>
              <w:rPr>
                <w:rFonts w:hint="eastAsia" w:cs="宋体"/>
                <w:color w:val="auto"/>
                <w:highlight w:val="none"/>
                <w:lang w:val="en-US" w:eastAsia="zh-CN"/>
              </w:rPr>
              <w:t>10</w:t>
            </w:r>
            <w:r>
              <w:rPr>
                <w:rFonts w:hint="eastAsia" w:ascii="宋体" w:hAnsi="宋体" w:eastAsia="宋体" w:cs="宋体"/>
                <w:color w:val="auto"/>
                <w:highlight w:val="none"/>
                <w:lang w:val="en-US" w:eastAsia="zh-CN"/>
              </w:rPr>
              <w:t>-</w:t>
            </w:r>
            <w:r>
              <w:rPr>
                <w:rFonts w:hint="eastAsia" w:cs="宋体"/>
                <w:color w:val="auto"/>
                <w:highlight w:val="none"/>
                <w:lang w:val="en-US" w:eastAsia="zh-CN"/>
              </w:rPr>
              <w:t xml:space="preserve">12 </w:t>
            </w:r>
            <w:r>
              <w:rPr>
                <w:rFonts w:hint="eastAsia" w:ascii="宋体" w:hAnsi="宋体" w:eastAsia="宋体" w:cs="宋体"/>
                <w:color w:val="auto"/>
                <w:highlight w:val="none"/>
                <w:lang w:val="en-US" w:eastAsia="zh-CN"/>
              </w:rPr>
              <w:t xml:space="preserve"> </w:t>
            </w:r>
            <w:r>
              <w:rPr>
                <w:rFonts w:hint="eastAsia" w:cs="宋体"/>
                <w:color w:val="auto"/>
                <w:highlight w:val="none"/>
                <w:lang w:val="en-US" w:eastAsia="zh-CN"/>
              </w:rPr>
              <w:t>09</w:t>
            </w:r>
            <w:r>
              <w:rPr>
                <w:rFonts w:hint="eastAsia" w:ascii="宋体" w:hAnsi="宋体" w:eastAsia="宋体" w:cs="宋体"/>
                <w:color w:val="auto"/>
                <w:highlight w:val="none"/>
                <w:lang w:val="en-US" w:eastAsia="zh-CN"/>
              </w:rPr>
              <w:t>:</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0:00（北京时间）前递交投标文件。</w:t>
            </w:r>
          </w:p>
        </w:tc>
      </w:tr>
    </w:tbl>
    <w:p w14:paraId="616977C1">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一、项目基本情况：</w:t>
      </w:r>
    </w:p>
    <w:p w14:paraId="74FF845B">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项目编号：SDGP371328000202402000171</w:t>
      </w:r>
    </w:p>
    <w:p w14:paraId="690251F6">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项目名称：</w:t>
      </w:r>
      <w:r>
        <w:rPr>
          <w:rFonts w:hint="eastAsia" w:cs="宋体"/>
          <w:color w:val="auto"/>
          <w:highlight w:val="none"/>
          <w:lang w:val="en-US" w:eastAsia="zh-CN"/>
        </w:rPr>
        <w:t>蒙阴经济开发区园区绿化项目（A包）</w:t>
      </w:r>
    </w:p>
    <w:p w14:paraId="096F6850">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采购方式：竞争性磋商</w:t>
      </w:r>
    </w:p>
    <w:p w14:paraId="1BBABC45">
      <w:pPr>
        <w:pStyle w:val="7"/>
        <w:spacing w:before="0" w:line="480" w:lineRule="exact"/>
        <w:ind w:right="391" w:rightChars="186" w:firstLine="48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预算金额：1070799.05</w:t>
      </w:r>
      <w:r>
        <w:rPr>
          <w:rFonts w:hint="eastAsia" w:cs="宋体"/>
          <w:color w:val="auto"/>
          <w:highlight w:val="none"/>
          <w:lang w:val="en-US" w:eastAsia="zh-CN"/>
        </w:rPr>
        <w:t>元</w:t>
      </w:r>
      <w:r>
        <w:rPr>
          <w:rFonts w:hint="eastAsia" w:ascii="宋体" w:hAnsi="宋体" w:eastAsia="宋体" w:cs="宋体"/>
          <w:color w:val="auto"/>
          <w:highlight w:val="none"/>
          <w:lang w:val="en-US" w:eastAsia="zh-CN"/>
        </w:rPr>
        <w:t>；</w:t>
      </w:r>
    </w:p>
    <w:p w14:paraId="36722B78">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最高限价：1070799.05元；</w:t>
      </w:r>
    </w:p>
    <w:p w14:paraId="0482408B">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采购需求：</w:t>
      </w:r>
    </w:p>
    <w:tbl>
      <w:tblPr>
        <w:tblStyle w:val="19"/>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22"/>
        <w:gridCol w:w="5130"/>
        <w:gridCol w:w="1405"/>
      </w:tblGrid>
      <w:tr w14:paraId="1E1E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40" w:type="dxa"/>
            <w:noWrap w:val="0"/>
            <w:tcMar>
              <w:top w:w="0" w:type="dxa"/>
              <w:left w:w="0" w:type="dxa"/>
              <w:bottom w:w="0" w:type="dxa"/>
              <w:right w:w="0" w:type="dxa"/>
            </w:tcMar>
            <w:vAlign w:val="center"/>
          </w:tcPr>
          <w:p w14:paraId="1A91191E">
            <w:pPr>
              <w:widowControl/>
              <w:snapToGrid w:val="0"/>
              <w:spacing w:line="4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标的</w:t>
            </w:r>
          </w:p>
        </w:tc>
        <w:tc>
          <w:tcPr>
            <w:tcW w:w="2422" w:type="dxa"/>
            <w:noWrap w:val="0"/>
            <w:tcMar>
              <w:top w:w="0" w:type="dxa"/>
              <w:left w:w="0" w:type="dxa"/>
              <w:bottom w:w="0" w:type="dxa"/>
              <w:right w:w="0" w:type="dxa"/>
            </w:tcMar>
            <w:vAlign w:val="center"/>
          </w:tcPr>
          <w:p w14:paraId="302C9560">
            <w:pPr>
              <w:widowControl/>
              <w:snapToGrid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标的</w:t>
            </w:r>
            <w:r>
              <w:rPr>
                <w:rFonts w:hint="eastAsia" w:ascii="宋体" w:hAnsi="宋体" w:eastAsia="宋体" w:cs="宋体"/>
                <w:color w:val="auto"/>
                <w:sz w:val="24"/>
                <w:szCs w:val="24"/>
              </w:rPr>
              <w:t>名称</w:t>
            </w:r>
          </w:p>
        </w:tc>
        <w:tc>
          <w:tcPr>
            <w:tcW w:w="5130" w:type="dxa"/>
            <w:noWrap w:val="0"/>
            <w:tcMar>
              <w:top w:w="0" w:type="dxa"/>
              <w:left w:w="0" w:type="dxa"/>
              <w:bottom w:w="0" w:type="dxa"/>
              <w:right w:w="0" w:type="dxa"/>
            </w:tcMar>
            <w:vAlign w:val="center"/>
          </w:tcPr>
          <w:p w14:paraId="4222176B">
            <w:pPr>
              <w:widowControl/>
              <w:snapToGrid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简要技术需求或服务要求</w:t>
            </w:r>
          </w:p>
        </w:tc>
        <w:tc>
          <w:tcPr>
            <w:tcW w:w="1405" w:type="dxa"/>
            <w:noWrap w:val="0"/>
            <w:tcMar>
              <w:top w:w="0" w:type="dxa"/>
              <w:left w:w="0" w:type="dxa"/>
              <w:bottom w:w="0" w:type="dxa"/>
              <w:right w:w="0" w:type="dxa"/>
            </w:tcMar>
            <w:vAlign w:val="center"/>
          </w:tcPr>
          <w:p w14:paraId="2662CD8A">
            <w:pPr>
              <w:widowControl/>
              <w:snapToGrid w:val="0"/>
              <w:spacing w:line="400" w:lineRule="exact"/>
              <w:jc w:val="center"/>
              <w:rPr>
                <w:rFonts w:hint="eastAsia" w:ascii="宋体" w:hAnsi="宋体"/>
                <w:color w:val="auto"/>
                <w:szCs w:val="21"/>
                <w:lang w:val="en-US" w:eastAsia="zh-CN"/>
              </w:rPr>
            </w:pPr>
            <w:r>
              <w:rPr>
                <w:rFonts w:hint="eastAsia" w:ascii="宋体" w:hAnsi="宋体"/>
                <w:color w:val="auto"/>
                <w:szCs w:val="21"/>
                <w:lang w:val="en-US" w:eastAsia="zh-CN"/>
              </w:rPr>
              <w:t>最高限价</w:t>
            </w:r>
          </w:p>
          <w:p w14:paraId="266093BF">
            <w:pPr>
              <w:widowControl/>
              <w:snapToGrid w:val="0"/>
              <w:spacing w:line="400" w:lineRule="exact"/>
              <w:jc w:val="center"/>
              <w:rPr>
                <w:rFonts w:hint="eastAsia" w:ascii="宋体" w:hAnsi="宋体" w:eastAsia="宋体" w:cs="宋体"/>
                <w:color w:val="auto"/>
                <w:sz w:val="24"/>
                <w:szCs w:val="24"/>
              </w:rPr>
            </w:pPr>
            <w:r>
              <w:rPr>
                <w:rFonts w:hint="eastAsia" w:ascii="宋体" w:hAnsi="宋体"/>
                <w:color w:val="auto"/>
                <w:szCs w:val="21"/>
              </w:rPr>
              <w:t>（单位：元）</w:t>
            </w:r>
          </w:p>
        </w:tc>
      </w:tr>
      <w:tr w14:paraId="136B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740" w:type="dxa"/>
            <w:noWrap w:val="0"/>
            <w:tcMar>
              <w:top w:w="0" w:type="dxa"/>
              <w:left w:w="0" w:type="dxa"/>
              <w:bottom w:w="0" w:type="dxa"/>
              <w:right w:w="0" w:type="dxa"/>
            </w:tcMar>
            <w:vAlign w:val="center"/>
          </w:tcPr>
          <w:p w14:paraId="3E8D6525">
            <w:pPr>
              <w:widowControl/>
              <w:snapToGrid w:val="0"/>
              <w:spacing w:line="4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A包</w:t>
            </w:r>
          </w:p>
        </w:tc>
        <w:tc>
          <w:tcPr>
            <w:tcW w:w="2422" w:type="dxa"/>
            <w:noWrap w:val="0"/>
            <w:tcMar>
              <w:top w:w="0" w:type="dxa"/>
              <w:left w:w="0" w:type="dxa"/>
              <w:bottom w:w="0" w:type="dxa"/>
              <w:right w:w="0" w:type="dxa"/>
            </w:tcMar>
            <w:vAlign w:val="center"/>
          </w:tcPr>
          <w:p w14:paraId="6A67DED2">
            <w:pPr>
              <w:pStyle w:val="7"/>
              <w:spacing w:before="0" w:line="480" w:lineRule="exact"/>
              <w:ind w:right="391" w:rightChars="186"/>
              <w:rPr>
                <w:rFonts w:hint="eastAsia" w:ascii="宋体" w:hAnsi="宋体" w:eastAsia="宋体" w:cs="宋体"/>
                <w:color w:val="auto"/>
                <w:highlight w:val="none"/>
                <w:lang w:val="en-US" w:eastAsia="zh-CN"/>
              </w:rPr>
            </w:pPr>
            <w:r>
              <w:rPr>
                <w:rFonts w:hint="eastAsia" w:cs="宋体"/>
                <w:color w:val="auto"/>
                <w:highlight w:val="none"/>
                <w:lang w:val="en-US" w:eastAsia="zh-CN"/>
              </w:rPr>
              <w:t>蒙阴经济开发区园区绿化项目（A包）</w:t>
            </w:r>
          </w:p>
          <w:p w14:paraId="65D29D23">
            <w:pPr>
              <w:pStyle w:val="7"/>
              <w:spacing w:before="0" w:line="480" w:lineRule="exact"/>
              <w:ind w:right="391" w:rightChars="186"/>
              <w:jc w:val="center"/>
              <w:rPr>
                <w:rFonts w:hint="eastAsia" w:ascii="宋体" w:hAnsi="宋体" w:eastAsia="宋体" w:cs="宋体"/>
                <w:color w:val="auto"/>
                <w:highlight w:val="none"/>
                <w:lang w:val="en-US" w:eastAsia="zh-CN"/>
              </w:rPr>
            </w:pPr>
          </w:p>
          <w:p w14:paraId="166BF8F5">
            <w:pPr>
              <w:widowControl/>
              <w:snapToGrid w:val="0"/>
              <w:spacing w:line="400" w:lineRule="exact"/>
              <w:jc w:val="center"/>
              <w:rPr>
                <w:rFonts w:hint="eastAsia" w:ascii="宋体" w:hAnsi="宋体" w:eastAsia="宋体" w:cs="宋体"/>
                <w:color w:val="auto"/>
                <w:sz w:val="24"/>
                <w:szCs w:val="24"/>
                <w:lang w:eastAsia="zh-CN"/>
              </w:rPr>
            </w:pPr>
          </w:p>
        </w:tc>
        <w:tc>
          <w:tcPr>
            <w:tcW w:w="5130" w:type="dxa"/>
            <w:noWrap w:val="0"/>
            <w:tcMar>
              <w:top w:w="0" w:type="dxa"/>
              <w:left w:w="0" w:type="dxa"/>
              <w:bottom w:w="0" w:type="dxa"/>
              <w:right w:w="0" w:type="dxa"/>
            </w:tcMar>
            <w:vAlign w:val="center"/>
          </w:tcPr>
          <w:p w14:paraId="65E5C727">
            <w:pPr>
              <w:widowControl/>
              <w:snapToGrid w:val="0"/>
              <w:spacing w:line="400" w:lineRule="exact"/>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1、满足《中华人民共和国政府采购法》第二十二条规定的资格要求；2、</w:t>
            </w:r>
            <w:r>
              <w:rPr>
                <w:rFonts w:hint="eastAsia" w:ascii="宋体" w:hAnsi="宋体" w:eastAsia="宋体" w:cs="宋体"/>
                <w:i w:val="0"/>
                <w:iCs w:val="0"/>
                <w:caps w:val="0"/>
                <w:color w:val="000000"/>
                <w:spacing w:val="0"/>
                <w:sz w:val="24"/>
                <w:szCs w:val="24"/>
                <w:shd w:val="clear" w:fill="FFFFFF"/>
              </w:rPr>
              <w:t>供应商应当具有履行合同所必需的设备和专业技术能力</w:t>
            </w:r>
            <w:r>
              <w:rPr>
                <w:rFonts w:hint="eastAsia" w:ascii="宋体" w:hAnsi="宋体" w:eastAsia="宋体" w:cs="宋体"/>
                <w:color w:val="auto"/>
                <w:sz w:val="24"/>
                <w:szCs w:val="24"/>
                <w:lang w:eastAsia="zh-CN"/>
              </w:rPr>
              <w:t>，在人员、设备、资金等方面具有相应的施工能力</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、参加政府采购活动前三年内，在经营活动中没有重大违法、违纪、违规、违约记录。</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、投标供应商未被列入失信被执行人名单、重大税收违法案件当事人名单、政府采购严重违法失信行为记录名单，信用信息以“信用中国”网站（www.creditchina.gov.cn）、中国政府采购网（www.ccgp.gov.cn）公布为准；</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投标供应商不得存在控股关系、母子公司关系或供应商单位法人、负责人为同一人，或者存在法人、负责人、高级管理人员人事兼职管理关系。</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、本项目不接受联合体投标。</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eastAsia="zh-CN"/>
              </w:rPr>
              <w:t>文件及法律法规规定的其他内容。</w:t>
            </w:r>
          </w:p>
        </w:tc>
        <w:tc>
          <w:tcPr>
            <w:tcW w:w="1405" w:type="dxa"/>
            <w:noWrap w:val="0"/>
            <w:tcMar>
              <w:top w:w="0" w:type="dxa"/>
              <w:left w:w="0" w:type="dxa"/>
              <w:bottom w:w="0" w:type="dxa"/>
              <w:right w:w="0" w:type="dxa"/>
            </w:tcMar>
            <w:vAlign w:val="center"/>
          </w:tcPr>
          <w:p w14:paraId="766CD4E3">
            <w:pPr>
              <w:widowControl/>
              <w:snapToGrid w:val="0"/>
              <w:spacing w:line="400" w:lineRule="exact"/>
              <w:jc w:val="center"/>
              <w:rPr>
                <w:rFonts w:hint="default" w:ascii="宋体" w:hAnsi="宋体" w:eastAsia="宋体" w:cs="宋体"/>
                <w:color w:val="auto"/>
                <w:sz w:val="24"/>
                <w:szCs w:val="24"/>
                <w:lang w:val="en-US" w:eastAsia="zh-CN"/>
              </w:rPr>
            </w:pPr>
            <w:r>
              <w:rPr>
                <w:rFonts w:hint="eastAsia" w:ascii="宋体" w:hAnsi="宋体" w:eastAsia="宋体" w:cs="宋体"/>
                <w:color w:val="auto"/>
                <w:highlight w:val="none"/>
                <w:lang w:val="en-US" w:eastAsia="zh-CN"/>
              </w:rPr>
              <w:t>1070799.05元</w:t>
            </w:r>
          </w:p>
        </w:tc>
      </w:tr>
    </w:tbl>
    <w:p w14:paraId="471326AF">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合同履行期限：详见磋商文件。</w:t>
      </w:r>
    </w:p>
    <w:p w14:paraId="457C5D4B">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本项目不接受联合体投标。</w:t>
      </w:r>
    </w:p>
    <w:p w14:paraId="0D5A3F72">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二、申请人的资格要求：</w:t>
      </w:r>
    </w:p>
    <w:p w14:paraId="00D07D64">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1.满足《中华人民共和国政府采购法》第二十二条规定；</w:t>
      </w:r>
    </w:p>
    <w:p w14:paraId="52B3C225">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2.落实政府采购政策需满足的资格要求：本项目专门面向中小微企业采购，鼓励节能政策、环保政策、中小企业政策、监狱企业政策、残疾人福利性单位政策等详见磋商文件；</w:t>
      </w:r>
    </w:p>
    <w:p w14:paraId="35B367BA">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三、获取采购文件</w:t>
      </w:r>
    </w:p>
    <w:p w14:paraId="35BDB72F">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1.时间：202</w:t>
      </w:r>
      <w:r>
        <w:rPr>
          <w:rFonts w:hint="eastAsia" w:cs="宋体"/>
          <w:color w:val="auto"/>
          <w:highlight w:val="none"/>
          <w:lang w:val="en-US" w:eastAsia="zh-CN"/>
        </w:rPr>
        <w:t>4</w:t>
      </w:r>
      <w:r>
        <w:rPr>
          <w:rFonts w:hint="eastAsia" w:ascii="宋体" w:hAnsi="宋体" w:eastAsia="宋体" w:cs="宋体"/>
          <w:color w:val="auto"/>
          <w:highlight w:val="none"/>
          <w:lang w:val="en-US" w:eastAsia="zh-CN"/>
        </w:rPr>
        <w:t>年</w:t>
      </w:r>
      <w:r>
        <w:rPr>
          <w:rFonts w:hint="eastAsia" w:cs="宋体"/>
          <w:color w:val="auto"/>
          <w:highlight w:val="none"/>
          <w:lang w:val="en-US" w:eastAsia="zh-CN"/>
        </w:rPr>
        <w:t>09</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27</w:t>
      </w:r>
      <w:r>
        <w:rPr>
          <w:rFonts w:hint="eastAsia" w:ascii="宋体" w:hAnsi="宋体" w:eastAsia="宋体" w:cs="宋体"/>
          <w:color w:val="auto"/>
          <w:highlight w:val="none"/>
          <w:lang w:val="en-US" w:eastAsia="zh-CN"/>
        </w:rPr>
        <w:t>日</w:t>
      </w:r>
      <w:r>
        <w:rPr>
          <w:rFonts w:hint="eastAsia" w:cs="宋体"/>
          <w:color w:val="auto"/>
          <w:highlight w:val="none"/>
          <w:lang w:val="en-US" w:eastAsia="zh-CN"/>
        </w:rPr>
        <w:t>0</w:t>
      </w:r>
      <w:r>
        <w:rPr>
          <w:rFonts w:hint="eastAsia" w:ascii="宋体" w:hAnsi="宋体" w:eastAsia="宋体" w:cs="宋体"/>
          <w:color w:val="auto"/>
          <w:highlight w:val="none"/>
          <w:lang w:val="en-US" w:eastAsia="zh-CN"/>
        </w:rPr>
        <w:t>8时30分至202</w:t>
      </w:r>
      <w:r>
        <w:rPr>
          <w:rFonts w:hint="eastAsia" w:cs="宋体"/>
          <w:color w:val="auto"/>
          <w:highlight w:val="none"/>
          <w:lang w:val="en-US" w:eastAsia="zh-CN"/>
        </w:rPr>
        <w:t>4</w:t>
      </w:r>
      <w:r>
        <w:rPr>
          <w:rFonts w:hint="eastAsia" w:ascii="宋体" w:hAnsi="宋体" w:eastAsia="宋体" w:cs="宋体"/>
          <w:color w:val="auto"/>
          <w:highlight w:val="none"/>
          <w:lang w:val="en-US" w:eastAsia="zh-CN"/>
        </w:rPr>
        <w:t>年</w:t>
      </w:r>
      <w:r>
        <w:rPr>
          <w:rFonts w:hint="eastAsia" w:cs="宋体"/>
          <w:color w:val="auto"/>
          <w:highlight w:val="none"/>
          <w:lang w:val="en-US" w:eastAsia="zh-CN"/>
        </w:rPr>
        <w:t>10</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09</w:t>
      </w:r>
      <w:r>
        <w:rPr>
          <w:rFonts w:hint="eastAsia" w:ascii="宋体" w:hAnsi="宋体" w:eastAsia="宋体" w:cs="宋体"/>
          <w:color w:val="auto"/>
          <w:highlight w:val="none"/>
          <w:lang w:val="en-US" w:eastAsia="zh-CN"/>
        </w:rPr>
        <w:t>日17时</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0分，每天上午08:30至12:00，下午12:00至17:</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0（北京时间，法定节假日除外）；</w:t>
      </w:r>
    </w:p>
    <w:p w14:paraId="639B034E">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2.地点：登录临沂市公共资源交易网(ggzyjy.linyi.gov.cn/linyi)网上下载采购文件；</w:t>
      </w:r>
    </w:p>
    <w:p w14:paraId="082A0041">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方式：潜在供应商须在临沂市公共资源交易网（ggzyjy.linyi.gov.cn/linyi）办理诚信入库及CA认证后，对本项目进行网上投标并下载本项目采购文件，同时在中国山东政府采购网(www.ccgp-shandong.gov.cn)进行网上注册。本项目实行网上电子招投标。投标人需在临沂市公共资源交易网系统中的“招标文件下载”页面下载电子招标文件（LYZF），并制作电子版投标文件（LYTF）上传到系统。潜在供应商若未在规定时间内（获取采购文件时间）未按上述方式办理注册、下载采购文件导致无法网上投标上传文件的，由潜在供应商自行承担后果。注：凡因自身贻误行为导致未获取招标文件及补充（答疑、澄清）文件或投标失败的，责任自负。</w:t>
      </w:r>
    </w:p>
    <w:p w14:paraId="33DDAA22">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4.售价：0。</w:t>
      </w:r>
    </w:p>
    <w:p w14:paraId="4744B4AD">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四、响应文件提交：</w:t>
      </w:r>
    </w:p>
    <w:p w14:paraId="07AF5479">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1.截止时间：202</w:t>
      </w:r>
      <w:r>
        <w:rPr>
          <w:rFonts w:hint="eastAsia" w:cs="宋体"/>
          <w:color w:val="auto"/>
          <w:highlight w:val="none"/>
          <w:lang w:val="en-US" w:eastAsia="zh-CN"/>
        </w:rPr>
        <w:t>4</w:t>
      </w:r>
      <w:r>
        <w:rPr>
          <w:rFonts w:hint="eastAsia" w:ascii="宋体" w:hAnsi="宋体" w:eastAsia="宋体" w:cs="宋体"/>
          <w:color w:val="auto"/>
          <w:highlight w:val="none"/>
          <w:lang w:val="en-US" w:eastAsia="zh-CN"/>
        </w:rPr>
        <w:t>年</w:t>
      </w:r>
      <w:r>
        <w:rPr>
          <w:rFonts w:hint="eastAsia" w:cs="宋体"/>
          <w:color w:val="auto"/>
          <w:highlight w:val="none"/>
          <w:lang w:val="en-US" w:eastAsia="zh-CN"/>
        </w:rPr>
        <w:t>10</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12</w:t>
      </w:r>
      <w:r>
        <w:rPr>
          <w:rFonts w:hint="eastAsia" w:ascii="宋体" w:hAnsi="宋体" w:eastAsia="宋体" w:cs="宋体"/>
          <w:color w:val="auto"/>
          <w:highlight w:val="none"/>
          <w:lang w:val="en-US" w:eastAsia="zh-CN"/>
        </w:rPr>
        <w:t>日</w:t>
      </w:r>
      <w:r>
        <w:rPr>
          <w:rFonts w:hint="eastAsia" w:cs="宋体"/>
          <w:color w:val="auto"/>
          <w:highlight w:val="none"/>
          <w:lang w:val="en-US" w:eastAsia="zh-CN"/>
        </w:rPr>
        <w:t>09</w:t>
      </w:r>
      <w:r>
        <w:rPr>
          <w:rFonts w:hint="eastAsia" w:ascii="宋体" w:hAnsi="宋体" w:eastAsia="宋体" w:cs="宋体"/>
          <w:color w:val="auto"/>
          <w:highlight w:val="none"/>
          <w:lang w:val="en-US" w:eastAsia="zh-CN"/>
        </w:rPr>
        <w:t>时</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0分（北京时间）</w:t>
      </w:r>
    </w:p>
    <w:p w14:paraId="437E0A93">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 点：临沂市公共资源交易网电子系统</w:t>
      </w:r>
    </w:p>
    <w:p w14:paraId="2DBA8F63">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五、开启：</w:t>
      </w:r>
    </w:p>
    <w:p w14:paraId="4D552A70">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1.开启时间：202</w:t>
      </w:r>
      <w:r>
        <w:rPr>
          <w:rFonts w:hint="eastAsia" w:cs="宋体"/>
          <w:color w:val="auto"/>
          <w:highlight w:val="none"/>
          <w:lang w:val="en-US" w:eastAsia="zh-CN"/>
        </w:rPr>
        <w:t>4</w:t>
      </w:r>
      <w:r>
        <w:rPr>
          <w:rFonts w:hint="eastAsia" w:ascii="宋体" w:hAnsi="宋体" w:eastAsia="宋体" w:cs="宋体"/>
          <w:color w:val="auto"/>
          <w:highlight w:val="none"/>
          <w:lang w:val="en-US" w:eastAsia="zh-CN"/>
        </w:rPr>
        <w:t>年</w:t>
      </w:r>
      <w:r>
        <w:rPr>
          <w:rFonts w:hint="eastAsia" w:cs="宋体"/>
          <w:color w:val="auto"/>
          <w:highlight w:val="none"/>
          <w:lang w:val="en-US" w:eastAsia="zh-CN"/>
        </w:rPr>
        <w:t>10</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12</w:t>
      </w:r>
      <w:r>
        <w:rPr>
          <w:rFonts w:hint="eastAsia" w:ascii="宋体" w:hAnsi="宋体" w:eastAsia="宋体" w:cs="宋体"/>
          <w:color w:val="auto"/>
          <w:highlight w:val="none"/>
          <w:lang w:val="en-US" w:eastAsia="zh-CN"/>
        </w:rPr>
        <w:t>日</w:t>
      </w:r>
      <w:r>
        <w:rPr>
          <w:rFonts w:hint="eastAsia" w:cs="宋体"/>
          <w:color w:val="auto"/>
          <w:highlight w:val="none"/>
          <w:lang w:val="en-US" w:eastAsia="zh-CN"/>
        </w:rPr>
        <w:t>09</w:t>
      </w:r>
      <w:r>
        <w:rPr>
          <w:rFonts w:hint="eastAsia" w:ascii="宋体" w:hAnsi="宋体" w:eastAsia="宋体" w:cs="宋体"/>
          <w:color w:val="auto"/>
          <w:highlight w:val="none"/>
          <w:lang w:val="en-US" w:eastAsia="zh-CN"/>
        </w:rPr>
        <w:t>时</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0分（北京时间）</w:t>
      </w:r>
    </w:p>
    <w:p w14:paraId="1B8C28C4">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2.开启地点：</w:t>
      </w:r>
      <w:r>
        <w:rPr>
          <w:rFonts w:hint="eastAsia" w:ascii="宋体" w:hAnsi="宋体" w:eastAsia="宋体" w:cs="宋体"/>
          <w:color w:val="auto"/>
          <w:highlight w:val="none"/>
          <w:lang w:val="en-US" w:eastAsia="en-US"/>
        </w:rPr>
        <w:t>蒙阴县六馆一中政务服务中心负一楼第</w:t>
      </w:r>
      <w:r>
        <w:rPr>
          <w:rFonts w:hint="eastAsia" w:cs="宋体"/>
          <w:color w:val="auto"/>
          <w:highlight w:val="none"/>
          <w:lang w:val="en-US" w:eastAsia="zh-CN"/>
        </w:rPr>
        <w:t>二</w:t>
      </w:r>
      <w:r>
        <w:rPr>
          <w:rFonts w:hint="eastAsia" w:ascii="宋体" w:hAnsi="宋体" w:eastAsia="宋体" w:cs="宋体"/>
          <w:color w:val="auto"/>
          <w:highlight w:val="none"/>
          <w:lang w:val="en-US" w:eastAsia="en-US"/>
        </w:rPr>
        <w:t>开标室（蒙阴县三公路与汶河北路交叉路口西南150米）</w:t>
      </w:r>
    </w:p>
    <w:p w14:paraId="1963D2E8">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六、公告期限：</w:t>
      </w:r>
    </w:p>
    <w:p w14:paraId="05B26449">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自本公告发布之日起5个工作日。</w:t>
      </w:r>
    </w:p>
    <w:p w14:paraId="64854F51">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七、其他补充事宜：</w:t>
      </w:r>
    </w:p>
    <w:p w14:paraId="0C3EE20F">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其他补充事宜:详见磋商文件</w:t>
      </w:r>
    </w:p>
    <w:p w14:paraId="770F0EC4">
      <w:pPr>
        <w:pStyle w:val="7"/>
        <w:spacing w:before="0" w:line="480" w:lineRule="exact"/>
        <w:ind w:right="391" w:rightChars="186"/>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八、对本次招标提出询问，请按以下方式联系：</w:t>
      </w:r>
    </w:p>
    <w:p w14:paraId="6EB0F203">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600DF240">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cs="宋体"/>
          <w:color w:val="auto"/>
          <w:highlight w:val="none"/>
          <w:lang w:val="en-US" w:eastAsia="zh-CN"/>
        </w:rPr>
        <w:t xml:space="preserve">山东蒙阴经济开发区管理委员会 </w:t>
      </w:r>
    </w:p>
    <w:p w14:paraId="456E036C">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地址：山东省蒙阴县汶河二路9号 </w:t>
      </w:r>
    </w:p>
    <w:p w14:paraId="35CF5FEF">
      <w:pPr>
        <w:pStyle w:val="7"/>
        <w:spacing w:before="0" w:line="480" w:lineRule="exact"/>
        <w:ind w:right="391" w:rightChars="186" w:firstLine="480" w:firstLineChars="200"/>
        <w:rPr>
          <w:rFonts w:hint="default" w:ascii="宋体" w:hAnsi="宋体" w:eastAsia="宋体" w:cs="宋体"/>
          <w:color w:val="auto"/>
          <w:highlight w:val="none"/>
          <w:lang w:val="en-US" w:eastAsia="zh-CN"/>
        </w:rPr>
      </w:pPr>
      <w:r>
        <w:rPr>
          <w:rFonts w:hint="eastAsia" w:cs="宋体"/>
          <w:color w:val="auto"/>
          <w:highlight w:val="none"/>
          <w:lang w:val="en-US" w:eastAsia="zh-CN"/>
        </w:rPr>
        <w:t>联系方式：18854906866</w:t>
      </w:r>
    </w:p>
    <w:p w14:paraId="71BA4163">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w:t>
      </w:r>
    </w:p>
    <w:p w14:paraId="535E9F01">
      <w:pPr>
        <w:pStyle w:val="7"/>
        <w:spacing w:before="0" w:line="480" w:lineRule="exact"/>
        <w:ind w:right="391" w:rightChars="186"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名称：临沂华屹工程项目管理咨询有限公司</w:t>
      </w:r>
    </w:p>
    <w:p w14:paraId="15FAC400">
      <w:pPr>
        <w:pStyle w:val="7"/>
        <w:spacing w:before="0" w:line="480" w:lineRule="exact"/>
        <w:ind w:right="391" w:rightChars="186" w:firstLine="480" w:firstLineChars="200"/>
        <w:rPr>
          <w:rFonts w:hint="default"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eastAsia="宋体" w:cs="宋体"/>
          <w:color w:val="auto"/>
          <w:highlight w:val="none"/>
          <w:lang w:val="zh-CN" w:eastAsia="zh-CN"/>
        </w:rPr>
        <w:t>山东省临沂市兰山区</w:t>
      </w:r>
      <w:r>
        <w:rPr>
          <w:rFonts w:hint="eastAsia" w:cs="宋体"/>
          <w:color w:val="auto"/>
          <w:highlight w:val="none"/>
          <w:lang w:val="en-US" w:eastAsia="zh-CN"/>
        </w:rPr>
        <w:t>国泰一品9号楼2201室</w:t>
      </w:r>
    </w:p>
    <w:p w14:paraId="080DE661">
      <w:pPr>
        <w:pStyle w:val="7"/>
        <w:spacing w:before="0" w:line="480" w:lineRule="exact"/>
        <w:ind w:right="391" w:rightChars="186" w:firstLine="48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w:t>
      </w:r>
      <w:r>
        <w:rPr>
          <w:rFonts w:hint="eastAsia" w:cs="宋体"/>
          <w:color w:val="auto"/>
          <w:highlight w:val="none"/>
          <w:lang w:val="en-US" w:eastAsia="zh-CN"/>
        </w:rPr>
        <w:t>15762089838</w:t>
      </w:r>
    </w:p>
    <w:p w14:paraId="592A0297">
      <w:pPr>
        <w:rPr>
          <w:rFonts w:hint="eastAsia" w:hAnsi="宋体" w:cs="宋体"/>
          <w:color w:val="auto"/>
          <w:szCs w:val="32"/>
          <w:highlight w:val="none"/>
        </w:rPr>
      </w:pPr>
      <w:bookmarkStart w:id="227" w:name="_Toc1719"/>
      <w:r>
        <w:rPr>
          <w:rFonts w:hint="eastAsia" w:hAnsi="宋体" w:cs="宋体"/>
          <w:color w:val="auto"/>
          <w:szCs w:val="32"/>
          <w:highlight w:val="none"/>
        </w:rPr>
        <w:br w:type="page"/>
      </w:r>
    </w:p>
    <w:p w14:paraId="3E280286">
      <w:pPr>
        <w:pStyle w:val="2"/>
        <w:tabs>
          <w:tab w:val="left" w:pos="0"/>
        </w:tabs>
        <w:spacing w:before="0" w:after="0" w:line="360" w:lineRule="auto"/>
        <w:rPr>
          <w:rFonts w:hAnsi="宋体" w:cs="宋体"/>
          <w:color w:val="auto"/>
          <w:szCs w:val="32"/>
          <w:highlight w:val="none"/>
        </w:rPr>
      </w:pPr>
      <w:bookmarkStart w:id="228" w:name="_Toc4288"/>
      <w:r>
        <w:rPr>
          <w:rFonts w:hint="eastAsia" w:hAnsi="宋体" w:cs="宋体"/>
          <w:color w:val="auto"/>
          <w:szCs w:val="32"/>
          <w:highlight w:val="none"/>
        </w:rPr>
        <w:t>第3章</w:t>
      </w:r>
      <w:bookmarkStart w:id="229" w:name="_Toc507399903"/>
      <w:bookmarkStart w:id="230" w:name="_Toc515647830"/>
      <w:bookmarkStart w:id="231" w:name="_Toc216582823"/>
      <w:bookmarkStart w:id="232" w:name="_Toc31583"/>
      <w:bookmarkStart w:id="233" w:name="_Toc4766814"/>
      <w:bookmarkStart w:id="234" w:name="_Toc10488"/>
      <w:r>
        <w:rPr>
          <w:rFonts w:hint="eastAsia" w:hAnsi="宋体" w:cs="宋体"/>
          <w:color w:val="auto"/>
          <w:highlight w:val="none"/>
        </w:rPr>
        <w:t>供应商须知</w:t>
      </w:r>
      <w:r>
        <w:rPr>
          <w:rFonts w:hint="eastAsia" w:hAnsi="宋体" w:cs="宋体"/>
          <w:color w:val="auto"/>
          <w:szCs w:val="32"/>
          <w:highlight w:val="none"/>
        </w:rPr>
        <w:t>资料表</w:t>
      </w:r>
      <w:bookmarkEnd w:id="227"/>
      <w:bookmarkEnd w:id="228"/>
      <w:bookmarkEnd w:id="229"/>
      <w:bookmarkEnd w:id="230"/>
      <w:bookmarkEnd w:id="231"/>
      <w:bookmarkEnd w:id="232"/>
      <w:bookmarkEnd w:id="233"/>
      <w:bookmarkEnd w:id="234"/>
    </w:p>
    <w:p w14:paraId="47F7CCC4">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本表是本磋商项目的具体资料，是对供应商须知的具体补充和修改，如有矛盾，应</w:t>
      </w:r>
      <w:r>
        <w:rPr>
          <w:rFonts w:hint="eastAsia" w:ascii="宋体" w:hAnsi="宋体" w:cs="宋体"/>
          <w:b/>
          <w:color w:val="auto"/>
          <w:sz w:val="24"/>
          <w:highlight w:val="none"/>
        </w:rPr>
        <w:t>以本资料表为准</w:t>
      </w:r>
      <w:r>
        <w:rPr>
          <w:rFonts w:hint="eastAsia" w:ascii="宋体" w:hAnsi="宋体" w:cs="宋体"/>
          <w:color w:val="auto"/>
          <w:sz w:val="24"/>
          <w:highlight w:val="none"/>
        </w:rPr>
        <w:t>。</w:t>
      </w:r>
    </w:p>
    <w:tbl>
      <w:tblPr>
        <w:tblStyle w:val="19"/>
        <w:tblW w:w="963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7"/>
        <w:gridCol w:w="8612"/>
      </w:tblGrid>
      <w:tr w14:paraId="1A621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1" w:hRule="atLeast"/>
        </w:trPr>
        <w:tc>
          <w:tcPr>
            <w:tcW w:w="1027" w:type="dxa"/>
            <w:tcBorders>
              <w:top w:val="single" w:color="auto" w:sz="12" w:space="0"/>
              <w:left w:val="single" w:color="auto" w:sz="12" w:space="0"/>
              <w:bottom w:val="single" w:color="auto" w:sz="6" w:space="0"/>
              <w:right w:val="single" w:color="auto" w:sz="6" w:space="0"/>
            </w:tcBorders>
            <w:noWrap w:val="0"/>
            <w:vAlign w:val="center"/>
          </w:tcPr>
          <w:p w14:paraId="2AE394D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条款号</w:t>
            </w:r>
          </w:p>
        </w:tc>
        <w:tc>
          <w:tcPr>
            <w:tcW w:w="8612" w:type="dxa"/>
            <w:tcBorders>
              <w:top w:val="single" w:color="auto" w:sz="12" w:space="0"/>
              <w:left w:val="single" w:color="auto" w:sz="6" w:space="0"/>
              <w:bottom w:val="single" w:color="auto" w:sz="6" w:space="0"/>
              <w:right w:val="single" w:color="auto" w:sz="12" w:space="0"/>
            </w:tcBorders>
            <w:noWrap w:val="0"/>
            <w:vAlign w:val="center"/>
          </w:tcPr>
          <w:p w14:paraId="5F3FE3D8">
            <w:pPr>
              <w:spacing w:line="360" w:lineRule="auto"/>
              <w:ind w:left="1080" w:leftChars="257" w:hanging="540"/>
              <w:jc w:val="center"/>
              <w:rPr>
                <w:rFonts w:ascii="宋体" w:hAnsi="宋体" w:cs="宋体"/>
                <w:color w:val="auto"/>
                <w:sz w:val="24"/>
                <w:highlight w:val="none"/>
              </w:rPr>
            </w:pPr>
            <w:r>
              <w:rPr>
                <w:rFonts w:hint="eastAsia" w:ascii="宋体" w:hAnsi="宋体" w:cs="宋体"/>
                <w:color w:val="auto"/>
                <w:sz w:val="24"/>
                <w:highlight w:val="none"/>
              </w:rPr>
              <w:t>内容</w:t>
            </w:r>
          </w:p>
        </w:tc>
      </w:tr>
      <w:tr w14:paraId="5E656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3BD117C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28DB4339">
            <w:pPr>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 xml:space="preserve">采购人名称：山东蒙阴经济开发区管理委员会 </w:t>
            </w:r>
          </w:p>
          <w:p w14:paraId="53C65340">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lang w:eastAsia="zh-CN"/>
              </w:rPr>
              <w:t>地址：</w:t>
            </w:r>
            <w:r>
              <w:rPr>
                <w:rFonts w:hint="eastAsia" w:ascii="宋体" w:hAnsi="宋体" w:cs="宋体"/>
                <w:color w:val="auto"/>
                <w:sz w:val="24"/>
                <w:highlight w:val="none"/>
                <w:lang w:val="en-US" w:eastAsia="zh-CN"/>
              </w:rPr>
              <w:t>山东省蒙阴县汶河二路9号 </w:t>
            </w:r>
          </w:p>
        </w:tc>
      </w:tr>
      <w:tr w14:paraId="3CEB2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30BDBC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6A116A08">
            <w:pPr>
              <w:spacing w:line="360" w:lineRule="auto"/>
              <w:rPr>
                <w:rFonts w:hint="eastAsia" w:ascii="宋体" w:hAnsi="宋体"/>
                <w:color w:val="auto"/>
                <w:sz w:val="24"/>
                <w:highlight w:val="none"/>
                <w:lang w:val="zh-CN"/>
              </w:rPr>
            </w:pPr>
            <w:r>
              <w:rPr>
                <w:rFonts w:hint="eastAsia" w:ascii="宋体" w:hAnsi="宋体"/>
                <w:color w:val="auto"/>
                <w:sz w:val="24"/>
                <w:highlight w:val="none"/>
              </w:rPr>
              <w:t>采购代理机构：</w:t>
            </w:r>
            <w:r>
              <w:rPr>
                <w:rFonts w:hint="eastAsia" w:ascii="宋体" w:hAnsi="宋体"/>
                <w:color w:val="auto"/>
                <w:sz w:val="24"/>
                <w:highlight w:val="none"/>
                <w:lang w:val="zh-CN"/>
              </w:rPr>
              <w:t>临沂华屹工程项目管理咨询有限公司</w:t>
            </w:r>
          </w:p>
          <w:p w14:paraId="78E6CDFF">
            <w:pPr>
              <w:spacing w:line="360" w:lineRule="auto"/>
              <w:rPr>
                <w:rFonts w:hint="eastAsia" w:ascii="宋体" w:hAnsi="宋体"/>
                <w:color w:val="auto"/>
                <w:sz w:val="24"/>
                <w:highlight w:val="none"/>
                <w:lang w:val="en-US" w:eastAsia="zh-CN"/>
              </w:rPr>
            </w:pPr>
            <w:r>
              <w:rPr>
                <w:rFonts w:hint="eastAsia" w:ascii="宋体" w:hAnsi="宋体"/>
                <w:color w:val="auto"/>
                <w:sz w:val="24"/>
                <w:highlight w:val="none"/>
              </w:rPr>
              <w:t>地址：</w:t>
            </w:r>
            <w:r>
              <w:rPr>
                <w:rFonts w:hint="eastAsia" w:ascii="宋体" w:hAnsi="宋体"/>
                <w:color w:val="auto"/>
                <w:sz w:val="24"/>
                <w:highlight w:val="none"/>
                <w:lang w:val="zh-CN" w:eastAsia="zh-CN"/>
              </w:rPr>
              <w:t>山东省临沂市兰山区</w:t>
            </w:r>
            <w:r>
              <w:rPr>
                <w:rFonts w:hint="eastAsia" w:ascii="宋体" w:hAnsi="宋体"/>
                <w:color w:val="auto"/>
                <w:sz w:val="24"/>
                <w:highlight w:val="none"/>
                <w:lang w:val="en-US" w:eastAsia="zh-CN"/>
              </w:rPr>
              <w:t>国泰一品9号楼2201室</w:t>
            </w:r>
          </w:p>
          <w:p w14:paraId="56317645">
            <w:pPr>
              <w:spacing w:line="360" w:lineRule="auto"/>
              <w:rPr>
                <w:rFonts w:hint="default" w:ascii="宋体" w:hAnsi="宋体" w:eastAsia="宋体" w:cs="宋体"/>
                <w:color w:val="auto"/>
                <w:sz w:val="24"/>
                <w:highlight w:val="none"/>
                <w:lang w:val="en-US" w:eastAsia="zh-CN"/>
              </w:rPr>
            </w:pPr>
            <w:r>
              <w:rPr>
                <w:rFonts w:hint="eastAsia" w:ascii="宋体" w:hAnsi="宋体"/>
                <w:color w:val="auto"/>
                <w:sz w:val="24"/>
                <w:highlight w:val="none"/>
              </w:rPr>
              <w:t>联系方式：</w:t>
            </w:r>
            <w:r>
              <w:rPr>
                <w:rFonts w:hint="eastAsia" w:ascii="宋体" w:hAnsi="宋体"/>
                <w:color w:val="auto"/>
                <w:sz w:val="24"/>
                <w:highlight w:val="none"/>
                <w:lang w:val="en-US" w:eastAsia="zh-CN"/>
              </w:rPr>
              <w:t>15762089838</w:t>
            </w:r>
          </w:p>
        </w:tc>
      </w:tr>
      <w:tr w14:paraId="2E9A1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805DC2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1.3.4</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0B2745BE">
            <w:pPr>
              <w:spacing w:line="360" w:lineRule="auto"/>
              <w:rPr>
                <w:rFonts w:ascii="宋体" w:hAnsi="宋体" w:cs="宋体"/>
                <w:color w:val="auto"/>
                <w:sz w:val="24"/>
                <w:highlight w:val="none"/>
              </w:rPr>
            </w:pPr>
            <w:r>
              <w:rPr>
                <w:rFonts w:hint="eastAsia" w:ascii="宋体" w:hAnsi="宋体" w:cs="宋体"/>
                <w:color w:val="auto"/>
                <w:sz w:val="24"/>
                <w:highlight w:val="none"/>
              </w:rPr>
              <w:t>合格供应商的特定资格要求：详见采购</w:t>
            </w:r>
            <w:r>
              <w:rPr>
                <w:rFonts w:hint="eastAsia" w:ascii="宋体" w:hAnsi="宋体" w:cs="宋体"/>
                <w:color w:val="auto"/>
                <w:sz w:val="24"/>
                <w:highlight w:val="none"/>
                <w:lang w:val="en-US" w:eastAsia="zh-CN"/>
              </w:rPr>
              <w:t>公告</w:t>
            </w:r>
            <w:r>
              <w:rPr>
                <w:rFonts w:hint="eastAsia" w:ascii="宋体" w:hAnsi="宋体" w:cs="宋体"/>
                <w:color w:val="auto"/>
                <w:sz w:val="24"/>
                <w:highlight w:val="none"/>
              </w:rPr>
              <w:t>中的供应商资格要求。</w:t>
            </w:r>
          </w:p>
        </w:tc>
      </w:tr>
      <w:tr w14:paraId="0296F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F8681E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1.3.5</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53F6DAD6">
            <w:pPr>
              <w:spacing w:line="360" w:lineRule="auto"/>
              <w:rPr>
                <w:rFonts w:ascii="宋体" w:hAnsi="宋体" w:cs="宋体"/>
                <w:color w:val="auto"/>
                <w:sz w:val="24"/>
                <w:highlight w:val="none"/>
              </w:rPr>
            </w:pPr>
            <w:r>
              <w:rPr>
                <w:rFonts w:hint="eastAsia" w:ascii="宋体" w:hAnsi="宋体"/>
                <w:color w:val="auto"/>
                <w:sz w:val="24"/>
                <w:highlight w:val="none"/>
              </w:rPr>
              <w:t>是否为专门面向</w:t>
            </w:r>
            <w:r>
              <w:rPr>
                <w:rFonts w:ascii="宋体" w:hAnsi="宋体"/>
                <w:color w:val="auto"/>
                <w:sz w:val="24"/>
                <w:highlight w:val="none"/>
              </w:rPr>
              <w:t>中小企业采购</w:t>
            </w:r>
            <w:r>
              <w:rPr>
                <w:rFonts w:hint="eastAsia" w:ascii="宋体" w:hAnsi="宋体"/>
                <w:color w:val="auto"/>
                <w:sz w:val="24"/>
                <w:highlight w:val="none"/>
              </w:rPr>
              <w:t>：</w:t>
            </w:r>
            <w:r>
              <w:rPr>
                <w:rFonts w:hint="eastAsia" w:ascii="宋体" w:hAnsi="宋体"/>
                <w:i/>
                <w:color w:val="auto"/>
                <w:sz w:val="24"/>
                <w:highlight w:val="none"/>
              </w:rPr>
              <w:t>（是）</w:t>
            </w:r>
            <w:r>
              <w:rPr>
                <w:rFonts w:hint="eastAsia" w:ascii="宋体" w:hAnsi="宋体" w:eastAsia="宋体" w:cs="宋体"/>
                <w:color w:val="auto"/>
                <w:spacing w:val="-11"/>
                <w:sz w:val="24"/>
                <w:szCs w:val="24"/>
                <w:highlight w:val="none"/>
                <w:lang w:eastAsia="zh-CN"/>
              </w:rPr>
              <w:t>本项目为专门面向中小微企业采购项目，不接收大型企业前来投标，供应商须提供中小企业声明函，未提供中小企业声明函的视为未实质性响应本项目，其响应文件为无效响应。</w:t>
            </w:r>
          </w:p>
        </w:tc>
      </w:tr>
      <w:tr w14:paraId="2F3B9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E2602A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1.4</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0BC4EE1A">
            <w:pPr>
              <w:spacing w:line="360" w:lineRule="auto"/>
              <w:rPr>
                <w:rFonts w:ascii="宋体" w:hAnsi="宋体" w:cs="宋体"/>
                <w:color w:val="auto"/>
                <w:sz w:val="24"/>
                <w:highlight w:val="none"/>
              </w:rPr>
            </w:pPr>
            <w:r>
              <w:rPr>
                <w:rFonts w:hint="eastAsia" w:ascii="宋体" w:hAnsi="宋体"/>
                <w:color w:val="auto"/>
                <w:sz w:val="24"/>
                <w:highlight w:val="none"/>
              </w:rPr>
              <w:t>是否允许联合体投标：</w:t>
            </w:r>
            <w:r>
              <w:rPr>
                <w:rFonts w:hint="eastAsia" w:ascii="宋体" w:hAnsi="宋体"/>
                <w:i/>
                <w:color w:val="auto"/>
                <w:sz w:val="24"/>
                <w:highlight w:val="none"/>
              </w:rPr>
              <w:t>（否）</w:t>
            </w:r>
          </w:p>
        </w:tc>
      </w:tr>
      <w:tr w14:paraId="00549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198DC17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1.4.7</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6E6620A0">
            <w:pPr>
              <w:spacing w:line="360" w:lineRule="auto"/>
              <w:rPr>
                <w:rFonts w:ascii="宋体" w:hAnsi="宋体" w:cs="宋体"/>
                <w:color w:val="auto"/>
                <w:sz w:val="24"/>
                <w:highlight w:val="none"/>
              </w:rPr>
            </w:pPr>
            <w:r>
              <w:rPr>
                <w:rFonts w:hint="eastAsia" w:ascii="宋体" w:hAnsi="宋体"/>
                <w:color w:val="auto"/>
                <w:sz w:val="24"/>
                <w:highlight w:val="none"/>
              </w:rPr>
              <w:t>联合体的其他资格要求：本项目不允许联合体投标。</w:t>
            </w:r>
          </w:p>
        </w:tc>
      </w:tr>
      <w:tr w14:paraId="121CAA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0"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31BB4BA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2.2</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44F16D6C">
            <w:pPr>
              <w:spacing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szCs w:val="24"/>
                <w:highlight w:val="none"/>
              </w:rPr>
              <w:t>本分包最高限价：</w:t>
            </w:r>
            <w:r>
              <w:rPr>
                <w:rFonts w:hint="eastAsia" w:ascii="宋体" w:hAnsi="宋体" w:eastAsia="宋体" w:cs="宋体"/>
                <w:b/>
                <w:bCs/>
                <w:color w:val="auto"/>
                <w:sz w:val="24"/>
                <w:szCs w:val="24"/>
                <w:highlight w:val="none"/>
                <w:u w:val="single"/>
                <w:lang w:val="en-US" w:eastAsia="zh-CN"/>
              </w:rPr>
              <w:t>1070799.05元</w:t>
            </w:r>
            <w:r>
              <w:rPr>
                <w:rFonts w:hint="eastAsia" w:ascii="宋体" w:hAnsi="宋体"/>
                <w:b/>
                <w:bCs/>
                <w:color w:val="auto"/>
                <w:sz w:val="24"/>
                <w:highlight w:val="none"/>
                <w:lang w:eastAsia="zh-CN"/>
              </w:rPr>
              <w:t>，</w:t>
            </w:r>
            <w:r>
              <w:rPr>
                <w:rFonts w:hint="eastAsia" w:ascii="宋体" w:hAnsi="宋体" w:eastAsia="宋体" w:cs="宋体"/>
                <w:b/>
                <w:bCs/>
                <w:color w:val="auto"/>
                <w:sz w:val="24"/>
                <w:szCs w:val="24"/>
                <w:highlight w:val="none"/>
              </w:rPr>
              <w:t>超出采购限价的报价为无效报价。</w:t>
            </w:r>
          </w:p>
        </w:tc>
      </w:tr>
      <w:tr w14:paraId="26158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343E66D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5.6</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1EC2DFB6">
            <w:pPr>
              <w:spacing w:line="360" w:lineRule="auto"/>
              <w:rPr>
                <w:rFonts w:ascii="宋体" w:hAnsi="宋体" w:cs="宋体"/>
                <w:color w:val="auto"/>
                <w:sz w:val="24"/>
                <w:highlight w:val="none"/>
              </w:rPr>
            </w:pPr>
            <w:r>
              <w:rPr>
                <w:rFonts w:hint="eastAsia" w:ascii="宋体" w:hAnsi="宋体"/>
                <w:color w:val="auto"/>
                <w:sz w:val="24"/>
                <w:highlight w:val="none"/>
              </w:rPr>
              <w:t>是否现场踏勘：</w:t>
            </w:r>
            <w:r>
              <w:rPr>
                <w:rFonts w:hint="eastAsia" w:ascii="宋体" w:hAnsi="宋体"/>
                <w:i/>
                <w:color w:val="auto"/>
                <w:sz w:val="24"/>
                <w:highlight w:val="none"/>
              </w:rPr>
              <w:t>（否）</w:t>
            </w:r>
          </w:p>
        </w:tc>
      </w:tr>
      <w:tr w14:paraId="0C346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176FBA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8.7</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15F956F7">
            <w:pPr>
              <w:spacing w:line="360" w:lineRule="auto"/>
              <w:rPr>
                <w:rFonts w:ascii="宋体" w:hAnsi="宋体" w:cs="宋体"/>
                <w:color w:val="auto"/>
                <w:sz w:val="24"/>
                <w:highlight w:val="none"/>
              </w:rPr>
            </w:pPr>
            <w:r>
              <w:rPr>
                <w:rFonts w:hint="eastAsia" w:ascii="宋体" w:hAnsi="宋体" w:cs="宋体"/>
                <w:color w:val="auto"/>
                <w:sz w:val="24"/>
                <w:highlight w:val="none"/>
              </w:rPr>
              <w:t>是否兼投不兼中：（</w:t>
            </w:r>
            <w:r>
              <w:rPr>
                <w:rFonts w:hint="eastAsia" w:ascii="宋体" w:hAnsi="宋体" w:cs="宋体"/>
                <w:color w:val="auto"/>
                <w:sz w:val="24"/>
                <w:highlight w:val="none"/>
                <w:lang w:val="en-US" w:eastAsia="zh-CN"/>
              </w:rPr>
              <w:t>是</w:t>
            </w:r>
            <w:r>
              <w:rPr>
                <w:rFonts w:hint="eastAsia" w:ascii="宋体" w:hAnsi="宋体" w:cs="宋体"/>
                <w:color w:val="auto"/>
                <w:sz w:val="24"/>
                <w:highlight w:val="none"/>
              </w:rPr>
              <w:t>）</w:t>
            </w:r>
          </w:p>
          <w:p w14:paraId="5B4029CE">
            <w:pPr>
              <w:spacing w:line="360" w:lineRule="auto"/>
              <w:rPr>
                <w:rFonts w:ascii="宋体" w:hAnsi="宋体" w:cs="宋体"/>
                <w:color w:val="auto"/>
                <w:sz w:val="24"/>
                <w:highlight w:val="none"/>
              </w:rPr>
            </w:pPr>
            <w:r>
              <w:rPr>
                <w:rFonts w:hint="eastAsia" w:ascii="宋体" w:hAnsi="宋体" w:cs="宋体"/>
                <w:color w:val="auto"/>
                <w:sz w:val="24"/>
                <w:highlight w:val="none"/>
              </w:rPr>
              <w:t>如投标商对多个分包进行投标，可以中标包</w:t>
            </w:r>
          </w:p>
          <w:p w14:paraId="58809B75">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兼投不兼中描述：</w:t>
            </w:r>
          </w:p>
        </w:tc>
      </w:tr>
      <w:tr w14:paraId="18ABB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587D99D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9.3</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7519BF77">
            <w:pPr>
              <w:spacing w:line="360" w:lineRule="auto"/>
              <w:rPr>
                <w:rFonts w:ascii="宋体" w:hAnsi="宋体" w:cs="宋体"/>
                <w:color w:val="auto"/>
                <w:sz w:val="24"/>
                <w:highlight w:val="none"/>
              </w:rPr>
            </w:pPr>
            <w:r>
              <w:rPr>
                <w:rFonts w:hint="eastAsia" w:ascii="宋体" w:hAnsi="宋体" w:cs="宋体"/>
                <w:color w:val="auto"/>
                <w:sz w:val="24"/>
                <w:highlight w:val="none"/>
              </w:rPr>
              <w:t>本项目是否采用电子投标：（是）</w:t>
            </w:r>
          </w:p>
        </w:tc>
      </w:tr>
      <w:tr w14:paraId="01493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2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071C2D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6DE4595B">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保证金形式</w:t>
            </w:r>
          </w:p>
          <w:p w14:paraId="7E5B2851">
            <w:pPr>
              <w:spacing w:line="360" w:lineRule="auto"/>
              <w:rPr>
                <w:rFonts w:hint="eastAsia" w:ascii="宋体" w:hAnsi="宋体" w:cs="宋体"/>
                <w:color w:val="auto"/>
                <w:sz w:val="24"/>
                <w:highlight w:val="none"/>
              </w:rPr>
            </w:pPr>
            <w:r>
              <w:rPr>
                <w:rFonts w:hint="eastAsia" w:ascii="宋体" w:hAnsi="宋体" w:cs="宋体"/>
                <w:color w:val="auto"/>
                <w:sz w:val="24"/>
                <w:highlight w:val="none"/>
              </w:rPr>
              <w:t>本项目无磋商保证金。</w:t>
            </w:r>
          </w:p>
        </w:tc>
      </w:tr>
      <w:tr w14:paraId="5BAB1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33A48EC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13.1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2813DECE">
            <w:pPr>
              <w:spacing w:line="360" w:lineRule="auto"/>
              <w:rPr>
                <w:rFonts w:ascii="宋体" w:hAnsi="宋体" w:cs="宋体"/>
                <w:color w:val="auto"/>
                <w:sz w:val="24"/>
                <w:highlight w:val="none"/>
              </w:rPr>
            </w:pPr>
            <w:r>
              <w:rPr>
                <w:rFonts w:hint="eastAsia" w:ascii="宋体" w:hAnsi="宋体" w:cs="宋体"/>
                <w:color w:val="auto"/>
                <w:sz w:val="24"/>
                <w:highlight w:val="none"/>
              </w:rPr>
              <w:t>响应有效期：90日历日</w:t>
            </w:r>
          </w:p>
        </w:tc>
      </w:tr>
      <w:tr w14:paraId="5FDAC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3"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87BDF2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14.1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0F3A8815">
            <w:pPr>
              <w:spacing w:line="360" w:lineRule="auto"/>
              <w:rPr>
                <w:rFonts w:ascii="宋体" w:hAnsi="宋体" w:cs="宋体"/>
                <w:color w:val="auto"/>
                <w:sz w:val="24"/>
                <w:highlight w:val="none"/>
              </w:rPr>
            </w:pPr>
            <w:r>
              <w:rPr>
                <w:rFonts w:hint="eastAsia" w:ascii="宋体" w:hAnsi="宋体" w:cs="宋体"/>
                <w:color w:val="auto"/>
                <w:sz w:val="24"/>
                <w:highlight w:val="none"/>
              </w:rPr>
              <w:t>需自行上传的文件：加密电子响应文件1份。（电子标）</w:t>
            </w:r>
          </w:p>
        </w:tc>
      </w:tr>
      <w:tr w14:paraId="6F2B2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1832C9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16．1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548B9749">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响应文件提交截止时间：</w:t>
            </w:r>
            <w:r>
              <w:rPr>
                <w:rFonts w:hint="eastAsia" w:ascii="宋体" w:hAnsi="宋体" w:cs="宋体"/>
                <w:b/>
                <w:bCs/>
                <w:color w:val="auto"/>
                <w:sz w:val="24"/>
                <w:highlight w:val="none"/>
                <w:lang w:eastAsia="zh-CN"/>
              </w:rPr>
              <w:t>202</w:t>
            </w: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lang w:eastAsia="zh-CN"/>
              </w:rPr>
              <w:t>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lang w:eastAsia="zh-CN"/>
              </w:rPr>
              <w:t>月</w:t>
            </w:r>
            <w:r>
              <w:rPr>
                <w:rFonts w:hint="eastAsia" w:ascii="宋体" w:hAnsi="宋体" w:cs="宋体"/>
                <w:b/>
                <w:bCs/>
                <w:color w:val="auto"/>
                <w:sz w:val="24"/>
                <w:highlight w:val="none"/>
                <w:lang w:val="en-US" w:eastAsia="zh-CN"/>
              </w:rPr>
              <w:t>12</w:t>
            </w:r>
            <w:r>
              <w:rPr>
                <w:rFonts w:hint="eastAsia" w:ascii="宋体" w:hAnsi="宋体" w:cs="宋体"/>
                <w:b/>
                <w:bCs/>
                <w:color w:val="auto"/>
                <w:sz w:val="24"/>
                <w:highlight w:val="none"/>
                <w:lang w:eastAsia="zh-CN"/>
              </w:rPr>
              <w:t>日</w:t>
            </w:r>
            <w:r>
              <w:rPr>
                <w:rFonts w:hint="eastAsia" w:ascii="宋体" w:hAnsi="宋体" w:cs="宋体"/>
                <w:b/>
                <w:bCs/>
                <w:color w:val="auto"/>
                <w:sz w:val="24"/>
                <w:highlight w:val="none"/>
                <w:lang w:val="en-US" w:eastAsia="zh-CN"/>
              </w:rPr>
              <w:t>09</w:t>
            </w:r>
            <w:r>
              <w:rPr>
                <w:rFonts w:hint="eastAsia" w:ascii="宋体" w:hAnsi="宋体" w:cs="宋体"/>
                <w:b/>
                <w:bCs/>
                <w:color w:val="auto"/>
                <w:sz w:val="24"/>
                <w:highlight w:val="none"/>
                <w:lang w:eastAsia="zh-CN"/>
              </w:rPr>
              <w:t>时</w:t>
            </w: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lang w:eastAsia="zh-CN"/>
              </w:rPr>
              <w:t>0分</w:t>
            </w:r>
            <w:r>
              <w:rPr>
                <w:rFonts w:hint="eastAsia" w:ascii="宋体" w:hAnsi="宋体" w:cs="宋体"/>
                <w:b/>
                <w:bCs/>
                <w:color w:val="auto"/>
                <w:sz w:val="24"/>
                <w:highlight w:val="none"/>
              </w:rPr>
              <w:t>（北京时间）　</w:t>
            </w:r>
          </w:p>
        </w:tc>
      </w:tr>
      <w:tr w14:paraId="742C4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C058D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18.1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3B4CEA0C">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开启响应文件时间：</w:t>
            </w:r>
            <w:r>
              <w:rPr>
                <w:rFonts w:hint="eastAsia" w:ascii="宋体" w:hAnsi="宋体" w:cs="宋体"/>
                <w:b/>
                <w:bCs/>
                <w:color w:val="auto"/>
                <w:sz w:val="24"/>
                <w:highlight w:val="none"/>
                <w:lang w:eastAsia="zh-CN"/>
              </w:rPr>
              <w:t>2</w:t>
            </w:r>
            <w:r>
              <w:rPr>
                <w:rFonts w:hint="eastAsia" w:ascii="宋体" w:hAnsi="宋体" w:cs="宋体"/>
                <w:b/>
                <w:bCs/>
                <w:color w:val="auto"/>
                <w:sz w:val="24"/>
                <w:highlight w:val="none"/>
                <w:lang w:val="en-US" w:eastAsia="zh-CN"/>
              </w:rPr>
              <w:t>0</w:t>
            </w:r>
            <w:r>
              <w:rPr>
                <w:rFonts w:hint="eastAsia" w:ascii="宋体" w:hAnsi="宋体" w:cs="宋体"/>
                <w:b/>
                <w:bCs/>
                <w:color w:val="auto"/>
                <w:sz w:val="24"/>
                <w:highlight w:val="none"/>
                <w:lang w:eastAsia="zh-CN"/>
              </w:rPr>
              <w:t>2</w:t>
            </w: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lang w:eastAsia="zh-CN"/>
              </w:rPr>
              <w:t>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lang w:eastAsia="zh-CN"/>
              </w:rPr>
              <w:t>月</w:t>
            </w:r>
            <w:r>
              <w:rPr>
                <w:rFonts w:hint="eastAsia" w:ascii="宋体" w:hAnsi="宋体" w:cs="宋体"/>
                <w:b/>
                <w:bCs/>
                <w:color w:val="auto"/>
                <w:sz w:val="24"/>
                <w:highlight w:val="none"/>
                <w:lang w:val="en-US" w:eastAsia="zh-CN"/>
              </w:rPr>
              <w:t>12</w:t>
            </w:r>
            <w:r>
              <w:rPr>
                <w:rFonts w:hint="eastAsia" w:ascii="宋体" w:hAnsi="宋体" w:cs="宋体"/>
                <w:b/>
                <w:bCs/>
                <w:color w:val="auto"/>
                <w:sz w:val="24"/>
                <w:highlight w:val="none"/>
                <w:lang w:eastAsia="zh-CN"/>
              </w:rPr>
              <w:t>日</w:t>
            </w:r>
            <w:r>
              <w:rPr>
                <w:rFonts w:hint="eastAsia" w:ascii="宋体" w:hAnsi="宋体" w:cs="宋体"/>
                <w:b/>
                <w:bCs/>
                <w:color w:val="auto"/>
                <w:sz w:val="24"/>
                <w:highlight w:val="none"/>
                <w:lang w:val="en-US" w:eastAsia="zh-CN"/>
              </w:rPr>
              <w:t>09</w:t>
            </w:r>
            <w:r>
              <w:rPr>
                <w:rFonts w:hint="eastAsia" w:ascii="宋体" w:hAnsi="宋体" w:cs="宋体"/>
                <w:b/>
                <w:bCs/>
                <w:color w:val="auto"/>
                <w:sz w:val="24"/>
                <w:highlight w:val="none"/>
                <w:lang w:eastAsia="zh-CN"/>
              </w:rPr>
              <w:t>时</w:t>
            </w: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lang w:eastAsia="zh-CN"/>
              </w:rPr>
              <w:t>0分</w:t>
            </w:r>
            <w:r>
              <w:rPr>
                <w:rFonts w:hint="eastAsia" w:ascii="宋体" w:hAnsi="宋体" w:cs="宋体"/>
                <w:b/>
                <w:bCs/>
                <w:color w:val="auto"/>
                <w:sz w:val="24"/>
                <w:highlight w:val="none"/>
              </w:rPr>
              <w:t>（北京时间）　　　　　</w:t>
            </w:r>
          </w:p>
          <w:p w14:paraId="70466923">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开启地点：</w:t>
            </w:r>
            <w:r>
              <w:rPr>
                <w:rFonts w:hint="eastAsia" w:ascii="宋体" w:hAnsi="宋体" w:cs="宋体"/>
                <w:b/>
                <w:bCs/>
                <w:color w:val="auto"/>
                <w:sz w:val="24"/>
                <w:highlight w:val="none"/>
                <w:lang w:val="en-US" w:eastAsia="en-US"/>
              </w:rPr>
              <w:t>蒙阴县六馆一中政务服务中心负一楼第</w:t>
            </w: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lang w:val="en-US" w:eastAsia="en-US"/>
              </w:rPr>
              <w:t>开标室（蒙阴县三公路与汶河北路交叉路口西南150米）</w:t>
            </w:r>
          </w:p>
        </w:tc>
      </w:tr>
      <w:tr w14:paraId="791A1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607296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28</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715144E8">
            <w:pPr>
              <w:spacing w:line="360" w:lineRule="auto"/>
              <w:rPr>
                <w:rFonts w:ascii="宋体" w:hAnsi="宋体" w:cs="宋体"/>
                <w:color w:val="auto"/>
                <w:sz w:val="24"/>
                <w:highlight w:val="none"/>
              </w:rPr>
            </w:pPr>
            <w:r>
              <w:rPr>
                <w:rFonts w:hint="eastAsia" w:ascii="宋体" w:hAnsi="宋体" w:cs="宋体"/>
                <w:color w:val="auto"/>
                <w:sz w:val="24"/>
                <w:highlight w:val="none"/>
              </w:rPr>
              <w:t>推荐成交候选供应商的数量：3个。</w:t>
            </w:r>
          </w:p>
        </w:tc>
      </w:tr>
      <w:tr w14:paraId="12BD4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6766BFA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28</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2DE516DE">
            <w:pPr>
              <w:spacing w:line="360" w:lineRule="auto"/>
              <w:rPr>
                <w:rFonts w:ascii="宋体" w:hAnsi="宋体" w:cs="宋体"/>
                <w:color w:val="auto"/>
                <w:sz w:val="24"/>
                <w:highlight w:val="none"/>
              </w:rPr>
            </w:pPr>
            <w:r>
              <w:rPr>
                <w:rFonts w:hint="eastAsia" w:ascii="宋体" w:hAnsi="宋体" w:cs="宋体"/>
                <w:color w:val="auto"/>
                <w:sz w:val="24"/>
                <w:highlight w:val="none"/>
              </w:rPr>
              <w:t>采购人是否委托磋商小组直接确定成交供应商：是</w:t>
            </w:r>
            <w:r>
              <w:rPr>
                <w:rFonts w:hint="eastAsia" w:ascii="宋体" w:hAnsi="宋体" w:cs="宋体"/>
                <w:color w:val="auto"/>
                <w:sz w:val="24"/>
                <w:highlight w:val="none"/>
                <w:lang w:eastAsia="zh-CN"/>
              </w:rPr>
              <w:t>☑</w:t>
            </w:r>
            <w:r>
              <w:rPr>
                <w:rFonts w:hint="eastAsia" w:ascii="宋体" w:hAnsi="宋体" w:cs="宋体"/>
                <w:color w:val="auto"/>
                <w:sz w:val="24"/>
                <w:highlight w:val="none"/>
              </w:rPr>
              <w:t>否□</w:t>
            </w:r>
          </w:p>
        </w:tc>
      </w:tr>
      <w:tr w14:paraId="73594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8"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240688A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32</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5C877908">
            <w:pPr>
              <w:pStyle w:val="25"/>
              <w:ind w:firstLine="0" w:firstLineChars="0"/>
              <w:rPr>
                <w:color w:val="auto"/>
                <w:highlight w:val="none"/>
              </w:rPr>
            </w:pPr>
            <w:r>
              <w:rPr>
                <w:rFonts w:hint="eastAsia" w:ascii="宋体" w:hAnsi="宋体" w:eastAsia="宋体" w:cs="宋体"/>
                <w:color w:val="auto"/>
                <w:kern w:val="0"/>
                <w:sz w:val="24"/>
                <w:szCs w:val="24"/>
                <w:highlight w:val="none"/>
                <w:lang w:val="en-US" w:eastAsia="zh-CN" w:bidi="ar-SA"/>
              </w:rPr>
              <w:t>本项目无履约保证金。</w:t>
            </w:r>
          </w:p>
        </w:tc>
      </w:tr>
      <w:tr w14:paraId="3A54F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6A1A466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33.1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4BCC0792">
            <w:pPr>
              <w:spacing w:line="360" w:lineRule="auto"/>
              <w:rPr>
                <w:rFonts w:ascii="宋体" w:hAnsi="宋体" w:cs="宋体"/>
                <w:color w:val="auto"/>
                <w:sz w:val="24"/>
                <w:highlight w:val="none"/>
              </w:rPr>
            </w:pPr>
            <w:r>
              <w:rPr>
                <w:rFonts w:hint="eastAsia" w:ascii="宋体" w:hAnsi="宋体" w:cs="宋体"/>
                <w:color w:val="auto"/>
                <w:sz w:val="24"/>
                <w:highlight w:val="none"/>
              </w:rPr>
              <w:t>本项目是否属于信用担保试点范围：（是）</w:t>
            </w:r>
          </w:p>
        </w:tc>
      </w:tr>
      <w:tr w14:paraId="50543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2CA1933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34.1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5E81FADF">
            <w:pPr>
              <w:spacing w:line="360" w:lineRule="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预付款比例为：</w:t>
            </w:r>
            <w:r>
              <w:rPr>
                <w:rFonts w:ascii="宋体" w:hAnsi="宋体" w:eastAsia="宋体" w:cs="宋体"/>
                <w:color w:val="auto"/>
                <w:spacing w:val="-13"/>
                <w:sz w:val="24"/>
                <w:szCs w:val="24"/>
                <w:highlight w:val="none"/>
              </w:rPr>
              <w:t>本项目</w:t>
            </w:r>
            <w:r>
              <w:rPr>
                <w:rFonts w:hint="eastAsia" w:ascii="宋体" w:hAnsi="宋体" w:cs="宋体"/>
                <w:color w:val="auto"/>
                <w:spacing w:val="-13"/>
                <w:sz w:val="24"/>
                <w:szCs w:val="24"/>
                <w:highlight w:val="none"/>
                <w:lang w:val="en-US" w:eastAsia="zh-CN"/>
              </w:rPr>
              <w:t>无预付款</w:t>
            </w:r>
            <w:r>
              <w:rPr>
                <w:rFonts w:hint="eastAsia" w:ascii="宋体" w:hAnsi="宋体" w:eastAsia="宋体" w:cs="宋体"/>
                <w:color w:val="auto"/>
                <w:spacing w:val="-13"/>
                <w:sz w:val="24"/>
                <w:szCs w:val="24"/>
                <w:highlight w:val="none"/>
                <w:lang w:eastAsia="zh-CN"/>
              </w:rPr>
              <w:t>。</w:t>
            </w:r>
          </w:p>
        </w:tc>
      </w:tr>
      <w:tr w14:paraId="17EDB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43C4B2F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35.3</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63D593FF">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rPr>
              <w:t>反腐倡廉监督电话/邮箱：</w:t>
            </w:r>
            <w:r>
              <w:rPr>
                <w:rFonts w:hint="eastAsia" w:ascii="宋体" w:hAnsi="宋体" w:cs="宋体"/>
                <w:color w:val="auto"/>
                <w:sz w:val="24"/>
                <w:highlight w:val="none"/>
                <w:lang w:val="en-US" w:eastAsia="zh-CN"/>
              </w:rPr>
              <w:t>15762089838</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linyihuayi@163.com</w:t>
            </w:r>
          </w:p>
        </w:tc>
      </w:tr>
      <w:tr w14:paraId="0A62DF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0C3987F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37.3</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0A5A71B9">
            <w:pPr>
              <w:spacing w:line="360" w:lineRule="auto"/>
              <w:rPr>
                <w:rFonts w:ascii="宋体" w:hAnsi="宋体" w:cs="宋体"/>
                <w:color w:val="auto"/>
                <w:sz w:val="24"/>
                <w:highlight w:val="none"/>
              </w:rPr>
            </w:pPr>
            <w:r>
              <w:rPr>
                <w:rFonts w:hint="eastAsia" w:ascii="宋体" w:hAnsi="宋体" w:cs="宋体"/>
                <w:color w:val="auto"/>
                <w:sz w:val="24"/>
                <w:highlight w:val="none"/>
              </w:rPr>
              <w:t>质疑函接收部门、联系电话和通讯地址：</w:t>
            </w:r>
          </w:p>
          <w:p w14:paraId="2CC29561">
            <w:pPr>
              <w:spacing w:line="360" w:lineRule="auto"/>
              <w:rPr>
                <w:rFonts w:ascii="宋体" w:hAnsi="宋体" w:cs="宋体"/>
                <w:color w:val="auto"/>
                <w:sz w:val="24"/>
                <w:highlight w:val="none"/>
              </w:rPr>
            </w:pPr>
            <w:r>
              <w:rPr>
                <w:rFonts w:hint="eastAsia" w:ascii="宋体" w:hAnsi="宋体" w:cs="宋体"/>
                <w:color w:val="auto"/>
                <w:sz w:val="24"/>
                <w:highlight w:val="none"/>
              </w:rPr>
              <w:t>联系部门：招标部</w:t>
            </w:r>
          </w:p>
          <w:p w14:paraId="457FCEDB">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联系电话：</w:t>
            </w:r>
            <w:r>
              <w:rPr>
                <w:rFonts w:hint="eastAsia" w:ascii="宋体" w:hAnsi="宋体" w:cs="宋体"/>
                <w:color w:val="auto"/>
                <w:sz w:val="24"/>
                <w:highlight w:val="none"/>
                <w:lang w:val="en-US" w:eastAsia="zh-CN"/>
              </w:rPr>
              <w:t>15762089838</w:t>
            </w:r>
          </w:p>
          <w:p w14:paraId="2DBDB245">
            <w:pPr>
              <w:tabs>
                <w:tab w:val="left" w:pos="3122"/>
              </w:tabs>
              <w:spacing w:line="360" w:lineRule="exact"/>
              <w:rPr>
                <w:rFonts w:hint="eastAsia" w:ascii="宋体" w:hAnsi="宋体" w:cs="宋体"/>
                <w:color w:val="auto"/>
                <w:sz w:val="24"/>
                <w:highlight w:val="none"/>
              </w:rPr>
            </w:pPr>
            <w:r>
              <w:rPr>
                <w:rFonts w:hint="eastAsia" w:ascii="宋体" w:hAnsi="宋体" w:cs="宋体"/>
                <w:color w:val="auto"/>
                <w:sz w:val="24"/>
                <w:highlight w:val="none"/>
              </w:rPr>
              <w:t>通讯地址：</w:t>
            </w:r>
            <w:r>
              <w:rPr>
                <w:rFonts w:hint="eastAsia" w:ascii="宋体" w:hAnsi="宋体" w:cs="宋体"/>
                <w:color w:val="auto"/>
                <w:sz w:val="24"/>
                <w:highlight w:val="none"/>
                <w:lang w:val="zh-CN" w:eastAsia="zh-CN"/>
              </w:rPr>
              <w:t>山东省临沂市兰山区</w:t>
            </w:r>
            <w:r>
              <w:rPr>
                <w:rFonts w:hint="eastAsia" w:ascii="宋体" w:hAnsi="宋体" w:cs="宋体"/>
                <w:color w:val="auto"/>
                <w:sz w:val="24"/>
                <w:highlight w:val="none"/>
                <w:lang w:val="en-US" w:eastAsia="zh-CN"/>
              </w:rPr>
              <w:t>国泰一品9号楼2201室</w:t>
            </w:r>
          </w:p>
        </w:tc>
      </w:tr>
      <w:tr w14:paraId="63C4F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5A03A68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38.1</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709CA0F1">
            <w:pPr>
              <w:spacing w:line="360" w:lineRule="auto"/>
              <w:rPr>
                <w:rFonts w:ascii="宋体" w:hAnsi="宋体" w:cs="宋体"/>
                <w:b/>
                <w:bCs/>
                <w:color w:val="auto"/>
                <w:sz w:val="24"/>
                <w:highlight w:val="none"/>
              </w:rPr>
            </w:pPr>
            <w:r>
              <w:rPr>
                <w:rFonts w:hint="eastAsia" w:ascii="宋体" w:hAnsi="宋体" w:cs="宋体"/>
                <w:color w:val="auto"/>
                <w:sz w:val="24"/>
                <w:highlight w:val="none"/>
              </w:rPr>
              <w:t>成交服务费：参照原国家计委《招标代理服务收费管理暂行办法》（计价格[2002]1980号）和国家发展改革委办公厅《关于招标代理服务收费有关问题的通知》（发改办价格[2003]857号）等有关规定执行，由中标人支付，中标人未按约定及时向代理机构缴纳上述服务费的，代理机构有权提请政府采购监督管理部门列入政府采购失信行为记录名单。</w:t>
            </w:r>
          </w:p>
          <w:p w14:paraId="729E047D">
            <w:pPr>
              <w:spacing w:line="360" w:lineRule="auto"/>
              <w:rPr>
                <w:rFonts w:ascii="宋体" w:hAnsi="宋体" w:cs="宋体"/>
                <w:color w:val="auto"/>
                <w:sz w:val="24"/>
                <w:highlight w:val="none"/>
              </w:rPr>
            </w:pPr>
            <w:r>
              <w:rPr>
                <w:rFonts w:hint="eastAsia" w:ascii="宋体" w:hAnsi="宋体" w:cs="宋体"/>
                <w:color w:val="auto"/>
                <w:sz w:val="24"/>
                <w:highlight w:val="none"/>
              </w:rPr>
              <w:t>支付形式：现金、电汇转账等</w:t>
            </w:r>
          </w:p>
          <w:p w14:paraId="02AA9411">
            <w:pPr>
              <w:spacing w:line="360" w:lineRule="auto"/>
              <w:rPr>
                <w:rFonts w:hint="eastAsia" w:ascii="宋体" w:hAnsi="宋体" w:cs="宋体"/>
                <w:color w:val="auto"/>
                <w:sz w:val="24"/>
                <w:highlight w:val="none"/>
              </w:rPr>
            </w:pPr>
            <w:r>
              <w:rPr>
                <w:rFonts w:hint="eastAsia" w:ascii="宋体" w:hAnsi="宋体" w:cs="宋体"/>
                <w:color w:val="auto"/>
                <w:sz w:val="24"/>
                <w:highlight w:val="none"/>
              </w:rPr>
              <w:t>支付时间：</w:t>
            </w:r>
            <w:r>
              <w:rPr>
                <w:rFonts w:hint="eastAsia" w:ascii="宋体" w:hAnsi="宋体"/>
                <w:color w:val="auto"/>
                <w:sz w:val="24"/>
                <w:highlight w:val="none"/>
              </w:rPr>
              <w:t>确定成交结果后3个工作日内。</w:t>
            </w:r>
          </w:p>
        </w:tc>
      </w:tr>
      <w:tr w14:paraId="271664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1"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7008F8C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38.2</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1D5D6772">
            <w:pPr>
              <w:spacing w:line="360" w:lineRule="auto"/>
              <w:rPr>
                <w:rFonts w:ascii="宋体" w:hAnsi="宋体" w:cs="宋体"/>
                <w:color w:val="auto"/>
                <w:sz w:val="24"/>
                <w:highlight w:val="none"/>
              </w:rPr>
            </w:pPr>
            <w:r>
              <w:rPr>
                <w:rFonts w:hint="eastAsia" w:ascii="宋体" w:hAnsi="宋体" w:cs="宋体"/>
                <w:color w:val="auto"/>
                <w:sz w:val="24"/>
                <w:highlight w:val="none"/>
              </w:rPr>
              <w:t>公证费/见证费：</w:t>
            </w:r>
            <w:r>
              <w:rPr>
                <w:rFonts w:hint="eastAsia" w:ascii="宋体" w:hAnsi="宋体"/>
                <w:color w:val="auto"/>
                <w:sz w:val="24"/>
                <w:highlight w:val="none"/>
              </w:rPr>
              <w:t>本项目无见证费</w:t>
            </w:r>
            <w:r>
              <w:rPr>
                <w:rFonts w:hint="eastAsia" w:ascii="宋体" w:hAnsi="宋体"/>
                <w:color w:val="auto"/>
                <w:sz w:val="24"/>
                <w:highlight w:val="none"/>
                <w:lang w:eastAsia="zh-CN"/>
              </w:rPr>
              <w:t>，</w:t>
            </w:r>
            <w:r>
              <w:rPr>
                <w:rFonts w:hint="eastAsia" w:ascii="宋体" w:hAnsi="宋体"/>
                <w:color w:val="auto"/>
                <w:sz w:val="24"/>
                <w:highlight w:val="none"/>
              </w:rPr>
              <w:t>公证费（若有）由</w:t>
            </w:r>
            <w:r>
              <w:rPr>
                <w:rFonts w:hint="eastAsia" w:ascii="宋体" w:hAnsi="宋体"/>
                <w:color w:val="auto"/>
                <w:sz w:val="24"/>
                <w:highlight w:val="none"/>
                <w:lang w:val="en-US" w:eastAsia="zh-CN"/>
              </w:rPr>
              <w:t>代理机构</w:t>
            </w:r>
            <w:r>
              <w:rPr>
                <w:rFonts w:hint="eastAsia" w:ascii="宋体" w:hAnsi="宋体"/>
                <w:color w:val="auto"/>
                <w:sz w:val="24"/>
                <w:highlight w:val="none"/>
              </w:rPr>
              <w:t>直接向公证处支付。</w:t>
            </w:r>
          </w:p>
          <w:p w14:paraId="0226CE24">
            <w:pPr>
              <w:spacing w:line="360" w:lineRule="auto"/>
              <w:rPr>
                <w:rFonts w:ascii="宋体" w:hAnsi="宋体"/>
                <w:color w:val="auto"/>
                <w:sz w:val="24"/>
                <w:highlight w:val="none"/>
              </w:rPr>
            </w:pPr>
            <w:r>
              <w:rPr>
                <w:rFonts w:hint="eastAsia" w:ascii="宋体" w:hAnsi="宋体"/>
                <w:color w:val="auto"/>
                <w:sz w:val="24"/>
                <w:highlight w:val="none"/>
              </w:rPr>
              <w:t>支付形式：电汇转账、现金等方式。</w:t>
            </w:r>
          </w:p>
          <w:p w14:paraId="797EA425">
            <w:pPr>
              <w:spacing w:line="360" w:lineRule="auto"/>
              <w:rPr>
                <w:rFonts w:hint="eastAsia" w:ascii="宋体" w:hAnsi="宋体" w:cs="宋体"/>
                <w:color w:val="auto"/>
                <w:sz w:val="24"/>
                <w:highlight w:val="none"/>
              </w:rPr>
            </w:pPr>
            <w:r>
              <w:rPr>
                <w:rFonts w:hint="eastAsia" w:ascii="宋体" w:hAnsi="宋体"/>
                <w:color w:val="auto"/>
                <w:sz w:val="24"/>
                <w:highlight w:val="none"/>
              </w:rPr>
              <w:t>支付时间：确定成交结果后3个工作日内。</w:t>
            </w:r>
          </w:p>
        </w:tc>
      </w:tr>
      <w:tr w14:paraId="3EED7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tcBorders>
              <w:top w:val="single" w:color="auto" w:sz="6" w:space="0"/>
              <w:left w:val="single" w:color="auto" w:sz="12" w:space="0"/>
              <w:bottom w:val="single" w:color="auto" w:sz="6" w:space="0"/>
              <w:right w:val="single" w:color="auto" w:sz="6" w:space="0"/>
            </w:tcBorders>
            <w:noWrap w:val="0"/>
            <w:vAlign w:val="center"/>
          </w:tcPr>
          <w:p w14:paraId="62B42540">
            <w:pPr>
              <w:spacing w:line="360" w:lineRule="auto"/>
              <w:rPr>
                <w:rFonts w:ascii="宋体" w:hAnsi="宋体"/>
                <w:color w:val="auto"/>
                <w:sz w:val="24"/>
                <w:highlight w:val="none"/>
              </w:rPr>
            </w:pPr>
            <w:r>
              <w:rPr>
                <w:rFonts w:hint="eastAsia" w:ascii="宋体" w:hAnsi="宋体"/>
                <w:color w:val="auto"/>
                <w:sz w:val="24"/>
                <w:highlight w:val="none"/>
              </w:rPr>
              <w:t>39</w:t>
            </w:r>
          </w:p>
        </w:tc>
        <w:tc>
          <w:tcPr>
            <w:tcW w:w="8612" w:type="dxa"/>
            <w:tcBorders>
              <w:top w:val="single" w:color="auto" w:sz="6" w:space="0"/>
              <w:left w:val="single" w:color="auto" w:sz="6" w:space="0"/>
              <w:bottom w:val="single" w:color="auto" w:sz="6" w:space="0"/>
              <w:right w:val="single" w:color="auto" w:sz="12" w:space="0"/>
            </w:tcBorders>
            <w:noWrap w:val="0"/>
            <w:vAlign w:val="center"/>
          </w:tcPr>
          <w:p w14:paraId="4A22FE17">
            <w:pPr>
              <w:spacing w:line="360" w:lineRule="auto"/>
              <w:rPr>
                <w:rFonts w:hint="eastAsia" w:ascii="宋体" w:hAnsi="宋体"/>
                <w:color w:val="auto"/>
                <w:sz w:val="24"/>
                <w:highlight w:val="none"/>
              </w:rPr>
            </w:pPr>
            <w:r>
              <w:rPr>
                <w:rFonts w:hint="eastAsia" w:ascii="宋体" w:hAnsi="宋体"/>
                <w:color w:val="auto"/>
                <w:sz w:val="24"/>
                <w:highlight w:val="none"/>
              </w:rPr>
              <w:t>磋商文件解释权：采购人或采购代理机构。</w:t>
            </w:r>
          </w:p>
        </w:tc>
      </w:tr>
      <w:tr w14:paraId="4164F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9639" w:type="dxa"/>
            <w:gridSpan w:val="2"/>
            <w:noWrap w:val="0"/>
            <w:vAlign w:val="center"/>
          </w:tcPr>
          <w:p w14:paraId="37B9958A">
            <w:pPr>
              <w:spacing w:line="360" w:lineRule="auto"/>
              <w:ind w:firstLine="720" w:firstLineChars="300"/>
              <w:rPr>
                <w:rFonts w:ascii="宋体" w:hAnsi="宋体" w:cs="宋体"/>
                <w:color w:val="auto"/>
                <w:sz w:val="24"/>
                <w:highlight w:val="none"/>
              </w:rPr>
            </w:pPr>
            <w:r>
              <w:rPr>
                <w:rFonts w:hint="eastAsia" w:ascii="宋体" w:hAnsi="宋体" w:cs="宋体"/>
                <w:color w:val="auto"/>
                <w:sz w:val="24"/>
                <w:highlight w:val="none"/>
              </w:rPr>
              <w:t>适用于本供应商须知的额外增加的变动：</w:t>
            </w:r>
          </w:p>
        </w:tc>
      </w:tr>
      <w:tr w14:paraId="12220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trPr>
        <w:tc>
          <w:tcPr>
            <w:tcW w:w="1027" w:type="dxa"/>
            <w:noWrap w:val="0"/>
            <w:vAlign w:val="center"/>
          </w:tcPr>
          <w:p w14:paraId="3E46BB2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8612" w:type="dxa"/>
            <w:noWrap w:val="0"/>
            <w:vAlign w:val="center"/>
          </w:tcPr>
          <w:p w14:paraId="4C86AC54">
            <w:pPr>
              <w:spacing w:line="360" w:lineRule="auto"/>
              <w:rPr>
                <w:rFonts w:ascii="宋体" w:hAnsi="宋体" w:cs="宋体"/>
                <w:color w:val="auto"/>
                <w:sz w:val="24"/>
                <w:highlight w:val="none"/>
              </w:rPr>
            </w:pPr>
            <w:r>
              <w:rPr>
                <w:rFonts w:hint="eastAsia" w:ascii="宋体" w:hAnsi="宋体" w:cs="宋体"/>
                <w:color w:val="auto"/>
                <w:sz w:val="24"/>
                <w:highlight w:val="none"/>
              </w:rPr>
              <w:t>法律法规对相应服务规定的条件：</w:t>
            </w:r>
            <w:r>
              <w:rPr>
                <w:rFonts w:ascii="宋体" w:hAnsi="宋体" w:cs="宋体"/>
                <w:color w:val="auto"/>
                <w:sz w:val="24"/>
                <w:highlight w:val="none"/>
                <w:lang w:val="en-US" w:eastAsia="zh-CN"/>
              </w:rPr>
              <w:t>1</w:t>
            </w:r>
            <w:r>
              <w:rPr>
                <w:rFonts w:hint="eastAsia" w:ascii="宋体" w:hAnsi="宋体" w:cs="宋体"/>
                <w:color w:val="auto"/>
                <w:sz w:val="24"/>
                <w:highlight w:val="none"/>
                <w:lang w:val="en-US" w:eastAsia="zh-CN"/>
              </w:rPr>
              <w:t>、具有独立承担民事责任的能力；</w:t>
            </w:r>
            <w:r>
              <w:rPr>
                <w:rFonts w:hint="default" w:ascii="宋体" w:hAnsi="宋体" w:cs="宋体"/>
                <w:color w:val="auto"/>
                <w:sz w:val="24"/>
                <w:highlight w:val="none"/>
                <w:lang w:val="en-US" w:eastAsia="zh-CN"/>
              </w:rPr>
              <w:t>2</w:t>
            </w:r>
            <w:r>
              <w:rPr>
                <w:rFonts w:hint="eastAsia" w:ascii="宋体" w:hAnsi="宋体" w:cs="宋体"/>
                <w:color w:val="auto"/>
                <w:sz w:val="24"/>
                <w:highlight w:val="none"/>
                <w:lang w:val="en-US" w:eastAsia="zh-CN"/>
              </w:rPr>
              <w:t>、具有良好</w:t>
            </w:r>
          </w:p>
          <w:p w14:paraId="2C8471D8">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的商业信誉和健全的财务会计制度；</w:t>
            </w:r>
            <w:r>
              <w:rPr>
                <w:rFonts w:hint="default" w:ascii="宋体" w:hAnsi="宋体" w:cs="宋体"/>
                <w:color w:val="auto"/>
                <w:sz w:val="24"/>
                <w:highlight w:val="none"/>
                <w:lang w:val="en-US" w:eastAsia="zh-CN"/>
              </w:rPr>
              <w:t>3</w:t>
            </w:r>
            <w:r>
              <w:rPr>
                <w:rFonts w:hint="eastAsia" w:ascii="宋体" w:hAnsi="宋体" w:cs="宋体"/>
                <w:color w:val="auto"/>
                <w:sz w:val="24"/>
                <w:highlight w:val="none"/>
                <w:lang w:val="en-US" w:eastAsia="zh-CN"/>
              </w:rPr>
              <w:t>、具有履行合同所必需的设备和专业技术能</w:t>
            </w:r>
          </w:p>
          <w:p w14:paraId="4047AD47">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力；</w:t>
            </w:r>
            <w:r>
              <w:rPr>
                <w:rFonts w:hint="default" w:ascii="宋体" w:hAnsi="宋体" w:cs="宋体"/>
                <w:color w:val="auto"/>
                <w:sz w:val="24"/>
                <w:highlight w:val="none"/>
                <w:lang w:val="en-US" w:eastAsia="zh-CN"/>
              </w:rPr>
              <w:t>4</w:t>
            </w:r>
            <w:r>
              <w:rPr>
                <w:rFonts w:hint="eastAsia" w:ascii="宋体" w:hAnsi="宋体" w:cs="宋体"/>
                <w:color w:val="auto"/>
                <w:sz w:val="24"/>
                <w:highlight w:val="none"/>
                <w:lang w:val="en-US" w:eastAsia="zh-CN"/>
              </w:rPr>
              <w:t>、具有依法缴纳税收和社会保障资金的良好记录；</w:t>
            </w:r>
            <w:r>
              <w:rPr>
                <w:rFonts w:hint="default" w:ascii="宋体" w:hAnsi="宋体" w:cs="宋体"/>
                <w:color w:val="auto"/>
                <w:sz w:val="24"/>
                <w:highlight w:val="none"/>
                <w:lang w:val="en-US" w:eastAsia="zh-CN"/>
              </w:rPr>
              <w:t>5</w:t>
            </w:r>
            <w:r>
              <w:rPr>
                <w:rFonts w:hint="eastAsia" w:ascii="宋体" w:hAnsi="宋体" w:cs="宋体"/>
                <w:color w:val="auto"/>
                <w:sz w:val="24"/>
                <w:highlight w:val="none"/>
                <w:lang w:val="en-US" w:eastAsia="zh-CN"/>
              </w:rPr>
              <w:t>、具有相应的项目服务经</w:t>
            </w:r>
          </w:p>
          <w:p w14:paraId="165F6480">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验，外地企业能正常在项目所在地开展业务；</w:t>
            </w:r>
            <w:r>
              <w:rPr>
                <w:rFonts w:hint="default" w:ascii="宋体" w:hAnsi="宋体" w:cs="宋体"/>
                <w:color w:val="auto"/>
                <w:sz w:val="24"/>
                <w:highlight w:val="none"/>
                <w:lang w:val="en-US" w:eastAsia="zh-CN"/>
              </w:rPr>
              <w:t>6</w:t>
            </w:r>
            <w:r>
              <w:rPr>
                <w:rFonts w:hint="eastAsia" w:ascii="宋体" w:hAnsi="宋体" w:cs="宋体"/>
                <w:color w:val="auto"/>
                <w:sz w:val="24"/>
                <w:highlight w:val="none"/>
                <w:lang w:val="en-US" w:eastAsia="zh-CN"/>
              </w:rPr>
              <w:t>、参加政府采购活动前三年内，在</w:t>
            </w:r>
          </w:p>
          <w:p w14:paraId="4B123EC0">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经营活动中没有重大违法记录；</w:t>
            </w:r>
            <w:r>
              <w:rPr>
                <w:rFonts w:hint="default" w:ascii="宋体" w:hAnsi="宋体" w:cs="宋体"/>
                <w:color w:val="auto"/>
                <w:sz w:val="24"/>
                <w:highlight w:val="none"/>
                <w:lang w:val="en-US" w:eastAsia="zh-CN"/>
              </w:rPr>
              <w:t>7</w:t>
            </w:r>
            <w:r>
              <w:rPr>
                <w:rFonts w:hint="eastAsia" w:ascii="宋体" w:hAnsi="宋体" w:cs="宋体"/>
                <w:color w:val="auto"/>
                <w:sz w:val="24"/>
                <w:highlight w:val="none"/>
                <w:lang w:val="en-US" w:eastAsia="zh-CN"/>
              </w:rPr>
              <w:t>、不接受联合体报价；</w:t>
            </w:r>
            <w:r>
              <w:rPr>
                <w:rFonts w:hint="default" w:ascii="宋体" w:hAnsi="宋体" w:cs="宋体"/>
                <w:color w:val="auto"/>
                <w:sz w:val="24"/>
                <w:highlight w:val="none"/>
                <w:lang w:val="en-US" w:eastAsia="zh-CN"/>
              </w:rPr>
              <w:t>8</w:t>
            </w:r>
            <w:r>
              <w:rPr>
                <w:rFonts w:hint="eastAsia" w:ascii="宋体" w:hAnsi="宋体" w:cs="宋体"/>
                <w:color w:val="auto"/>
                <w:sz w:val="24"/>
                <w:highlight w:val="none"/>
                <w:lang w:val="en-US" w:eastAsia="zh-CN"/>
              </w:rPr>
              <w:t>、法律法规规定的其他条</w:t>
            </w:r>
          </w:p>
          <w:p w14:paraId="2E26F4D7">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件；</w:t>
            </w:r>
            <w:r>
              <w:rPr>
                <w:rFonts w:hint="default" w:ascii="宋体" w:hAnsi="宋体" w:cs="宋体"/>
                <w:color w:val="auto"/>
                <w:sz w:val="24"/>
                <w:highlight w:val="none"/>
                <w:lang w:val="en-US" w:eastAsia="zh-CN"/>
              </w:rPr>
              <w:t>9</w:t>
            </w:r>
            <w:r>
              <w:rPr>
                <w:rFonts w:hint="eastAsia" w:ascii="宋体" w:hAnsi="宋体" w:cs="宋体"/>
                <w:color w:val="auto"/>
                <w:sz w:val="24"/>
                <w:highlight w:val="none"/>
                <w:lang w:val="en-US" w:eastAsia="zh-CN"/>
              </w:rPr>
              <w:t>、提供中小企业声明函（工程、服务）</w:t>
            </w:r>
          </w:p>
        </w:tc>
      </w:tr>
      <w:tr w14:paraId="020FC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95" w:hRule="atLeast"/>
        </w:trPr>
        <w:tc>
          <w:tcPr>
            <w:tcW w:w="1027" w:type="dxa"/>
            <w:noWrap w:val="0"/>
            <w:vAlign w:val="center"/>
          </w:tcPr>
          <w:p w14:paraId="7AD70F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8612" w:type="dxa"/>
            <w:noWrap w:val="0"/>
            <w:vAlign w:val="center"/>
          </w:tcPr>
          <w:p w14:paraId="317F24A5">
            <w:pPr>
              <w:tabs>
                <w:tab w:val="left" w:pos="5580"/>
              </w:tabs>
              <w:spacing w:line="360" w:lineRule="auto"/>
              <w:rPr>
                <w:rFonts w:ascii="宋体" w:hAnsi="宋体" w:cs="宋体"/>
                <w:color w:val="auto"/>
                <w:sz w:val="24"/>
                <w:highlight w:val="none"/>
              </w:rPr>
            </w:pPr>
            <w:r>
              <w:rPr>
                <w:rFonts w:hint="eastAsia" w:ascii="宋体" w:hAnsi="宋体" w:cs="宋体"/>
                <w:color w:val="auto"/>
                <w:sz w:val="24"/>
                <w:highlight w:val="none"/>
              </w:rPr>
              <w:t>1、供应商提供营业执照及证明具有良好的商业信誉和健全的财务会计制度（</w:t>
            </w:r>
            <w:r>
              <w:rPr>
                <w:rFonts w:hint="eastAsia" w:ascii="宋体" w:hAnsi="宋体" w:cs="宋体"/>
                <w:color w:val="auto"/>
                <w:sz w:val="24"/>
                <w:highlight w:val="none"/>
                <w:lang w:val="en-US" w:eastAsia="zh-CN"/>
              </w:rPr>
              <w:t>经审计的财务报告扫描件或者其基本开户银行出具的资信证明扫描件或者具有良好的商业信誉和健全的财务会计制度的承诺书</w:t>
            </w:r>
            <w:r>
              <w:rPr>
                <w:rFonts w:hint="eastAsia" w:ascii="宋体" w:hAnsi="宋体" w:cs="宋体"/>
                <w:color w:val="auto"/>
                <w:sz w:val="24"/>
                <w:highlight w:val="none"/>
              </w:rPr>
              <w:t>）；</w:t>
            </w:r>
          </w:p>
          <w:p w14:paraId="206ED580">
            <w:pPr>
              <w:spacing w:line="360" w:lineRule="auto"/>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依法缴纳税收和社会保障资金承诺函</w:t>
            </w:r>
            <w:r>
              <w:rPr>
                <w:rFonts w:hint="eastAsia" w:ascii="宋体" w:hAnsi="宋体" w:cs="宋体"/>
                <w:color w:val="auto"/>
                <w:sz w:val="24"/>
                <w:highlight w:val="none"/>
              </w:rPr>
              <w:t>；</w:t>
            </w:r>
          </w:p>
        </w:tc>
      </w:tr>
      <w:tr w14:paraId="2BBF1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09" w:hRule="atLeast"/>
        </w:trPr>
        <w:tc>
          <w:tcPr>
            <w:tcW w:w="1027" w:type="dxa"/>
            <w:noWrap w:val="0"/>
            <w:vAlign w:val="center"/>
          </w:tcPr>
          <w:p w14:paraId="5F6F7E4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8612" w:type="dxa"/>
            <w:noWrap w:val="0"/>
            <w:vAlign w:val="center"/>
          </w:tcPr>
          <w:p w14:paraId="2E872A94">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是否允许供应商将项目非主体、非关键性工作交由他人完成：是□否</w:t>
            </w:r>
            <w:r>
              <w:rPr>
                <w:rFonts w:hint="eastAsia" w:ascii="宋体" w:hAnsi="宋体" w:cs="宋体"/>
                <w:color w:val="auto"/>
                <w:sz w:val="24"/>
                <w:highlight w:val="none"/>
                <w:lang w:eastAsia="zh-CN"/>
              </w:rPr>
              <w:t>☑</w:t>
            </w:r>
          </w:p>
        </w:tc>
      </w:tr>
      <w:tr w14:paraId="4015A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9639" w:type="dxa"/>
            <w:gridSpan w:val="2"/>
            <w:noWrap w:val="0"/>
            <w:vAlign w:val="center"/>
          </w:tcPr>
          <w:p w14:paraId="4A075527">
            <w:pPr>
              <w:spacing w:line="360" w:lineRule="auto"/>
              <w:rPr>
                <w:rFonts w:ascii="宋体" w:hAnsi="宋体" w:cs="宋体"/>
                <w:color w:val="auto"/>
                <w:sz w:val="24"/>
                <w:highlight w:val="none"/>
              </w:rPr>
            </w:pPr>
            <w:r>
              <w:rPr>
                <w:rFonts w:hint="eastAsia" w:ascii="宋体" w:hAnsi="宋体" w:cs="宋体"/>
                <w:color w:val="auto"/>
                <w:sz w:val="24"/>
                <w:highlight w:val="none"/>
              </w:rPr>
              <w:t>合同条款</w:t>
            </w:r>
          </w:p>
        </w:tc>
      </w:tr>
      <w:tr w14:paraId="4609B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noWrap w:val="0"/>
            <w:vAlign w:val="center"/>
          </w:tcPr>
          <w:p w14:paraId="6B3F589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8612" w:type="dxa"/>
            <w:noWrap w:val="0"/>
            <w:vAlign w:val="center"/>
          </w:tcPr>
          <w:p w14:paraId="2FC61BC0">
            <w:pPr>
              <w:spacing w:line="360" w:lineRule="auto"/>
              <w:rPr>
                <w:rFonts w:ascii="宋体" w:hAnsi="宋体" w:cs="宋体"/>
                <w:color w:val="auto"/>
                <w:sz w:val="24"/>
                <w:highlight w:val="none"/>
              </w:rPr>
            </w:pPr>
            <w:r>
              <w:rPr>
                <w:rFonts w:hint="eastAsia" w:ascii="宋体" w:hAnsi="宋体" w:cs="宋体"/>
                <w:color w:val="auto"/>
                <w:sz w:val="24"/>
                <w:highlight w:val="none"/>
              </w:rPr>
              <w:t>付款途径：采购人支付</w:t>
            </w:r>
          </w:p>
        </w:tc>
      </w:tr>
      <w:tr w14:paraId="37CCB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0" w:hRule="atLeast"/>
        </w:trPr>
        <w:tc>
          <w:tcPr>
            <w:tcW w:w="1027" w:type="dxa"/>
            <w:noWrap w:val="0"/>
            <w:vAlign w:val="center"/>
          </w:tcPr>
          <w:p w14:paraId="38474DF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8612" w:type="dxa"/>
            <w:noWrap w:val="0"/>
            <w:vAlign w:val="center"/>
          </w:tcPr>
          <w:p w14:paraId="0BF945C5">
            <w:pPr>
              <w:tabs>
                <w:tab w:val="left" w:pos="5580"/>
              </w:tabs>
              <w:spacing w:line="360" w:lineRule="auto"/>
              <w:rPr>
                <w:rFonts w:hint="default"/>
                <w:lang w:val="en-US"/>
              </w:rPr>
            </w:pPr>
            <w:r>
              <w:rPr>
                <w:rFonts w:hint="eastAsia" w:ascii="宋体" w:hAnsi="宋体" w:eastAsia="宋体" w:cs="宋体"/>
                <w:color w:val="auto"/>
                <w:sz w:val="24"/>
                <w:highlight w:val="none"/>
                <w:lang w:val="en-US" w:eastAsia="zh-CN"/>
              </w:rPr>
              <w:t>付款方式：工程竣工验收合格</w:t>
            </w:r>
            <w:r>
              <w:rPr>
                <w:rFonts w:hint="eastAsia" w:ascii="宋体" w:hAnsi="宋体" w:cs="宋体"/>
                <w:color w:val="auto"/>
                <w:sz w:val="24"/>
                <w:highlight w:val="none"/>
                <w:lang w:val="en-US" w:eastAsia="zh-CN"/>
              </w:rPr>
              <w:t>后2024年年底拨付60%,第二年拨</w:t>
            </w:r>
            <w:r>
              <w:rPr>
                <w:rFonts w:hint="eastAsia" w:ascii="宋体" w:hAnsi="宋体" w:eastAsia="宋体" w:cs="宋体"/>
                <w:sz w:val="24"/>
                <w:szCs w:val="24"/>
                <w:lang w:val="en-US" w:eastAsia="zh-CN"/>
              </w:rPr>
              <w:t>付至工程款的</w:t>
            </w:r>
            <w:r>
              <w:rPr>
                <w:rFonts w:hint="eastAsia" w:ascii="宋体" w:hAnsi="宋体" w:cs="宋体"/>
                <w:color w:val="auto"/>
                <w:sz w:val="24"/>
                <w:highlight w:val="none"/>
                <w:lang w:val="en-US" w:eastAsia="zh-CN"/>
              </w:rPr>
              <w:t>80%，第三年无质量问题后拨付至剩余工程款的100%。</w:t>
            </w:r>
            <w:r>
              <w:rPr>
                <w:rFonts w:hint="eastAsia" w:ascii="宋体" w:hAnsi="宋体" w:eastAsia="宋体" w:cs="宋体"/>
                <w:color w:val="auto"/>
                <w:sz w:val="24"/>
                <w:highlight w:val="none"/>
                <w:lang w:val="en-US" w:eastAsia="zh-CN"/>
              </w:rPr>
              <w:t>（具体结算以财政拨付为准）。</w:t>
            </w:r>
          </w:p>
        </w:tc>
      </w:tr>
      <w:tr w14:paraId="40694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noWrap w:val="0"/>
            <w:vAlign w:val="center"/>
          </w:tcPr>
          <w:p w14:paraId="3DF147F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8612" w:type="dxa"/>
            <w:noWrap w:val="0"/>
            <w:vAlign w:val="center"/>
          </w:tcPr>
          <w:p w14:paraId="5F8B2EAD">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工期</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20天</w:t>
            </w:r>
          </w:p>
        </w:tc>
      </w:tr>
      <w:tr w14:paraId="020FC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4" w:hRule="atLeast"/>
        </w:trPr>
        <w:tc>
          <w:tcPr>
            <w:tcW w:w="1027" w:type="dxa"/>
            <w:noWrap w:val="0"/>
            <w:vAlign w:val="center"/>
          </w:tcPr>
          <w:p w14:paraId="572C3AD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8612" w:type="dxa"/>
            <w:noWrap w:val="0"/>
            <w:vAlign w:val="center"/>
          </w:tcPr>
          <w:p w14:paraId="651E82D1">
            <w:pPr>
              <w:spacing w:line="360" w:lineRule="auto"/>
              <w:rPr>
                <w:rFonts w:ascii="宋体" w:hAnsi="宋体" w:cs="宋体"/>
                <w:color w:val="auto"/>
                <w:sz w:val="24"/>
                <w:highlight w:val="none"/>
              </w:rPr>
            </w:pPr>
            <w:r>
              <w:rPr>
                <w:rFonts w:hint="eastAsia" w:ascii="宋体" w:hAnsi="宋体" w:cs="宋体"/>
                <w:color w:val="auto"/>
                <w:sz w:val="24"/>
                <w:highlight w:val="none"/>
              </w:rPr>
              <w:t>交付地点：甲方指定地点。</w:t>
            </w:r>
          </w:p>
        </w:tc>
      </w:tr>
      <w:tr w14:paraId="39CEE0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2" w:hRule="atLeast"/>
        </w:trPr>
        <w:tc>
          <w:tcPr>
            <w:tcW w:w="1027" w:type="dxa"/>
            <w:noWrap w:val="0"/>
            <w:vAlign w:val="center"/>
          </w:tcPr>
          <w:p w14:paraId="1A014C7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8612" w:type="dxa"/>
            <w:noWrap w:val="0"/>
            <w:vAlign w:val="center"/>
          </w:tcPr>
          <w:p w14:paraId="5B527FD7">
            <w:pPr>
              <w:spacing w:line="360" w:lineRule="auto"/>
              <w:rPr>
                <w:rFonts w:ascii="宋体" w:hAnsi="宋体" w:cs="宋体"/>
                <w:color w:val="auto"/>
                <w:sz w:val="24"/>
                <w:highlight w:val="none"/>
              </w:rPr>
            </w:pPr>
            <w:r>
              <w:rPr>
                <w:rFonts w:hint="eastAsia" w:ascii="宋体" w:hAnsi="宋体" w:cs="宋体"/>
                <w:color w:val="auto"/>
                <w:sz w:val="24"/>
                <w:highlight w:val="none"/>
              </w:rPr>
              <w:t>免费维护期、保修期：与服务期一致。</w:t>
            </w:r>
          </w:p>
        </w:tc>
      </w:tr>
      <w:tr w14:paraId="1CC73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1" w:hRule="atLeast"/>
        </w:trPr>
        <w:tc>
          <w:tcPr>
            <w:tcW w:w="1027" w:type="dxa"/>
            <w:noWrap w:val="0"/>
            <w:vAlign w:val="center"/>
          </w:tcPr>
          <w:p w14:paraId="60794C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8612" w:type="dxa"/>
            <w:noWrap w:val="0"/>
            <w:vAlign w:val="center"/>
          </w:tcPr>
          <w:p w14:paraId="06443CE8">
            <w:pPr>
              <w:spacing w:line="360" w:lineRule="auto"/>
              <w:rPr>
                <w:rFonts w:ascii="宋体" w:hAnsi="宋体" w:cs="宋体"/>
                <w:color w:val="auto"/>
                <w:sz w:val="24"/>
                <w:highlight w:val="none"/>
              </w:rPr>
            </w:pPr>
            <w:r>
              <w:rPr>
                <w:rFonts w:hint="eastAsia" w:ascii="宋体" w:hAnsi="宋体" w:cs="宋体"/>
                <w:color w:val="auto"/>
                <w:sz w:val="24"/>
                <w:highlight w:val="none"/>
              </w:rPr>
              <w:t>争议的解决：</w:t>
            </w:r>
            <w:r>
              <w:rPr>
                <w:rFonts w:hint="eastAsia" w:ascii="宋体" w:hAnsi="宋体"/>
                <w:color w:val="auto"/>
                <w:sz w:val="24"/>
                <w:highlight w:val="none"/>
              </w:rPr>
              <w:t>合同发生纠纷时，双方应协商解决，协商不成可以采用下列方式解决：（1）提交</w:t>
            </w:r>
            <w:r>
              <w:rPr>
                <w:rFonts w:hint="eastAsia" w:ascii="宋体" w:hAnsi="宋体"/>
                <w:color w:val="auto"/>
                <w:sz w:val="24"/>
                <w:highlight w:val="none"/>
                <w:lang w:val="en-US" w:eastAsia="zh-CN"/>
              </w:rPr>
              <w:t>蒙阴县</w:t>
            </w:r>
            <w:r>
              <w:rPr>
                <w:rFonts w:hint="eastAsia" w:ascii="宋体" w:hAnsi="宋体"/>
                <w:color w:val="auto"/>
                <w:sz w:val="24"/>
                <w:highlight w:val="none"/>
              </w:rPr>
              <w:t>仲裁委员会仲裁；（2）向</w:t>
            </w:r>
            <w:r>
              <w:rPr>
                <w:rFonts w:hint="eastAsia" w:ascii="宋体" w:hAnsi="宋体"/>
                <w:color w:val="auto"/>
                <w:sz w:val="24"/>
                <w:highlight w:val="none"/>
                <w:lang w:val="en-US" w:eastAsia="zh-CN"/>
              </w:rPr>
              <w:t>蒙阴县</w:t>
            </w:r>
            <w:r>
              <w:rPr>
                <w:rFonts w:hint="eastAsia" w:ascii="宋体" w:hAnsi="宋体"/>
                <w:color w:val="auto"/>
                <w:sz w:val="24"/>
                <w:highlight w:val="none"/>
              </w:rPr>
              <w:t>人民法院起诉。</w:t>
            </w:r>
          </w:p>
        </w:tc>
      </w:tr>
      <w:tr w14:paraId="7506DE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1" w:hRule="atLeast"/>
        </w:trPr>
        <w:tc>
          <w:tcPr>
            <w:tcW w:w="1027" w:type="dxa"/>
            <w:noWrap w:val="0"/>
            <w:vAlign w:val="center"/>
          </w:tcPr>
          <w:p w14:paraId="7DEAC32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8612" w:type="dxa"/>
            <w:noWrap w:val="0"/>
            <w:vAlign w:val="center"/>
          </w:tcPr>
          <w:p w14:paraId="5945C104">
            <w:pPr>
              <w:spacing w:line="360" w:lineRule="auto"/>
              <w:rPr>
                <w:rFonts w:hint="eastAsia" w:ascii="宋体" w:hAnsi="宋体" w:eastAsia="宋体" w:cs="宋体"/>
                <w:color w:val="auto"/>
                <w:sz w:val="24"/>
                <w:highlight w:val="none"/>
                <w:lang w:eastAsia="zh-CN"/>
              </w:rPr>
            </w:pPr>
            <w:r>
              <w:rPr>
                <w:rFonts w:hint="eastAsia" w:ascii="宋体" w:hAnsi="宋体" w:cs="宋体"/>
                <w:b w:val="0"/>
                <w:bCs w:val="0"/>
                <w:color w:val="auto"/>
                <w:sz w:val="24"/>
                <w:highlight w:val="none"/>
                <w:lang w:eastAsia="zh-CN"/>
              </w:rPr>
              <w:t>成果交付方式：</w:t>
            </w:r>
            <w:r>
              <w:rPr>
                <w:rFonts w:hint="eastAsia" w:ascii="宋体" w:hAnsi="宋体" w:cs="宋体"/>
                <w:b w:val="0"/>
                <w:bCs w:val="0"/>
                <w:color w:val="auto"/>
                <w:sz w:val="24"/>
                <w:highlight w:val="none"/>
                <w:lang w:val="en-US" w:eastAsia="zh-CN"/>
              </w:rPr>
              <w:t>满足采购人要求</w:t>
            </w:r>
            <w:r>
              <w:rPr>
                <w:rFonts w:hint="eastAsia" w:ascii="宋体" w:hAnsi="宋体"/>
                <w:color w:val="auto"/>
                <w:sz w:val="24"/>
                <w:szCs w:val="24"/>
                <w:highlight w:val="none"/>
                <w:lang w:val="en-US" w:eastAsia="zh-CN"/>
              </w:rPr>
              <w:t>。</w:t>
            </w:r>
          </w:p>
        </w:tc>
      </w:tr>
    </w:tbl>
    <w:p w14:paraId="19EE12B3">
      <w:pPr>
        <w:pStyle w:val="25"/>
        <w:ind w:left="0" w:leftChars="0" w:firstLine="0" w:firstLineChars="0"/>
        <w:rPr>
          <w:rFonts w:ascii="宋体" w:hAnsi="宋体" w:cs="宋体"/>
          <w:color w:val="auto"/>
          <w:highlight w:val="none"/>
        </w:rPr>
        <w:sectPr>
          <w:headerReference r:id="rId3" w:type="default"/>
          <w:footerReference r:id="rId5" w:type="default"/>
          <w:headerReference r:id="rId4" w:type="even"/>
          <w:footerReference r:id="rId6" w:type="even"/>
          <w:pgSz w:w="11906" w:h="16838"/>
          <w:pgMar w:top="1417" w:right="1417" w:bottom="1417" w:left="1417" w:header="851" w:footer="992" w:gutter="0"/>
          <w:cols w:space="720" w:num="1"/>
          <w:docGrid w:linePitch="312" w:charSpace="0"/>
        </w:sectPr>
      </w:pPr>
    </w:p>
    <w:bookmarkEnd w:id="226"/>
    <w:p w14:paraId="376FD99B">
      <w:pPr>
        <w:pStyle w:val="2"/>
        <w:numPr>
          <w:ilvl w:val="0"/>
          <w:numId w:val="0"/>
        </w:numPr>
        <w:tabs>
          <w:tab w:val="left" w:pos="0"/>
        </w:tabs>
        <w:spacing w:before="0" w:after="0" w:line="360" w:lineRule="auto"/>
        <w:rPr>
          <w:rFonts w:hint="eastAsia" w:hAnsi="宋体" w:cs="宋体"/>
          <w:color w:val="auto"/>
          <w:highlight w:val="none"/>
        </w:rPr>
      </w:pPr>
      <w:bookmarkStart w:id="235" w:name="_Toc669"/>
      <w:bookmarkStart w:id="236" w:name="_Toc218935354"/>
      <w:bookmarkStart w:id="237" w:name="_Toc46238255"/>
      <w:bookmarkStart w:id="238" w:name="_Toc515647831"/>
      <w:bookmarkStart w:id="239" w:name="_Toc219175638"/>
      <w:bookmarkStart w:id="240" w:name="_Toc2708"/>
      <w:bookmarkStart w:id="241" w:name="_Toc9887"/>
      <w:bookmarkStart w:id="242" w:name="_Toc9032"/>
      <w:bookmarkStart w:id="243" w:name="_Toc216582825"/>
      <w:bookmarkStart w:id="244" w:name="_Toc4766527"/>
      <w:bookmarkStart w:id="245" w:name="_Toc507399906"/>
      <w:bookmarkStart w:id="246" w:name="_Toc512937852"/>
      <w:r>
        <w:rPr>
          <w:rFonts w:hint="eastAsia" w:hAnsi="宋体" w:cs="宋体"/>
          <w:color w:val="auto"/>
          <w:highlight w:val="none"/>
          <w:lang w:val="en-US" w:eastAsia="zh-CN"/>
        </w:rPr>
        <w:t>第4章项目情况</w:t>
      </w:r>
      <w:bookmarkEnd w:id="235"/>
      <w:bookmarkEnd w:id="236"/>
      <w:bookmarkEnd w:id="237"/>
      <w:bookmarkEnd w:id="238"/>
      <w:bookmarkEnd w:id="239"/>
      <w:bookmarkEnd w:id="240"/>
      <w:bookmarkEnd w:id="241"/>
      <w:bookmarkEnd w:id="242"/>
      <w:bookmarkEnd w:id="243"/>
      <w:bookmarkEnd w:id="244"/>
      <w:bookmarkEnd w:id="245"/>
    </w:p>
    <w:bookmarkEnd w:id="246"/>
    <w:p w14:paraId="2DB8EDB8">
      <w:pPr>
        <w:spacing w:line="360" w:lineRule="auto"/>
        <w:rPr>
          <w:rFonts w:hint="eastAsia" w:ascii="宋体" w:hAnsi="宋体" w:eastAsia="宋体" w:cs="宋体"/>
          <w:b/>
          <w:bCs/>
          <w:color w:val="auto"/>
          <w:sz w:val="24"/>
          <w:highlight w:val="none"/>
          <w:lang w:val="zh-CN" w:eastAsia="zh-CN"/>
        </w:rPr>
      </w:pPr>
      <w:bookmarkStart w:id="247" w:name="_Toc30475"/>
      <w:bookmarkStart w:id="248" w:name="_Toc218935355"/>
      <w:bookmarkStart w:id="249" w:name="_Toc219175639"/>
      <w:bookmarkStart w:id="250" w:name="_Toc216582826"/>
      <w:r>
        <w:rPr>
          <w:rFonts w:hint="eastAsia" w:ascii="宋体" w:hAnsi="宋体" w:eastAsia="宋体" w:cs="宋体"/>
          <w:b/>
          <w:bCs/>
          <w:color w:val="auto"/>
          <w:sz w:val="24"/>
          <w:highlight w:val="none"/>
          <w:lang w:val="zh-CN" w:eastAsia="zh-CN"/>
        </w:rPr>
        <w:t>一、项目基本情况</w:t>
      </w:r>
    </w:p>
    <w:p w14:paraId="2C0BEE3E">
      <w:pPr>
        <w:spacing w:line="360" w:lineRule="auto"/>
        <w:ind w:firstLine="424" w:firstLineChars="177"/>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lang w:val="zh-CN" w:eastAsia="zh-CN"/>
        </w:rPr>
        <w:t>1、工程名称：</w:t>
      </w:r>
      <w:r>
        <w:rPr>
          <w:rFonts w:hint="eastAsia" w:ascii="宋体" w:hAnsi="宋体" w:cs="宋体"/>
          <w:color w:val="auto"/>
          <w:sz w:val="24"/>
          <w:highlight w:val="none"/>
          <w:lang w:val="zh-CN" w:eastAsia="zh-CN"/>
        </w:rPr>
        <w:t>蒙阴经济开发区园区绿化项目（A包）</w:t>
      </w:r>
      <w:r>
        <w:rPr>
          <w:rFonts w:hint="eastAsia" w:ascii="宋体" w:hAnsi="宋体" w:eastAsia="宋体" w:cs="宋体"/>
          <w:color w:val="auto"/>
          <w:sz w:val="24"/>
          <w:highlight w:val="none"/>
          <w:lang w:val="zh-CN" w:eastAsia="zh-CN"/>
        </w:rPr>
        <w:t xml:space="preserve"> </w:t>
      </w:r>
    </w:p>
    <w:p w14:paraId="743A4287">
      <w:pPr>
        <w:spacing w:line="360" w:lineRule="auto"/>
        <w:ind w:firstLine="424" w:firstLineChars="177"/>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lang w:val="zh-CN" w:eastAsia="zh-CN"/>
        </w:rPr>
        <w:t>2、建设单位：</w:t>
      </w:r>
      <w:r>
        <w:rPr>
          <w:rFonts w:hint="eastAsia" w:ascii="宋体" w:hAnsi="宋体" w:cs="宋体"/>
          <w:color w:val="auto"/>
          <w:sz w:val="24"/>
          <w:highlight w:val="none"/>
          <w:lang w:val="zh-CN" w:eastAsia="zh-CN"/>
        </w:rPr>
        <w:t xml:space="preserve">山东蒙阴经济开发区管理委员会 </w:t>
      </w:r>
    </w:p>
    <w:p w14:paraId="7B192612">
      <w:pPr>
        <w:spacing w:line="360" w:lineRule="auto"/>
        <w:ind w:firstLine="424" w:firstLineChars="177"/>
        <w:rPr>
          <w:rFonts w:hint="eastAsia" w:ascii="宋体" w:hAnsi="宋体" w:cs="宋体"/>
          <w:color w:val="auto"/>
          <w:sz w:val="24"/>
          <w:highlight w:val="none"/>
          <w:lang w:val="zh-CN" w:eastAsia="zh-CN"/>
        </w:rPr>
      </w:pPr>
      <w:r>
        <w:rPr>
          <w:rFonts w:hint="eastAsia" w:ascii="宋体" w:hAnsi="宋体" w:eastAsia="宋体" w:cs="宋体"/>
          <w:color w:val="auto"/>
          <w:sz w:val="24"/>
          <w:highlight w:val="none"/>
          <w:lang w:val="zh-CN" w:eastAsia="zh-CN"/>
        </w:rPr>
        <w:t>3、项目地点：</w:t>
      </w:r>
      <w:r>
        <w:rPr>
          <w:rFonts w:hint="eastAsia" w:ascii="宋体" w:hAnsi="宋体" w:cs="宋体"/>
          <w:color w:val="auto"/>
          <w:sz w:val="24"/>
          <w:highlight w:val="none"/>
          <w:lang w:val="zh-CN" w:eastAsia="zh-CN"/>
        </w:rPr>
        <w:t>山东蒙阴经济开发区</w:t>
      </w:r>
    </w:p>
    <w:p w14:paraId="58CC0933">
      <w:pPr>
        <w:spacing w:line="360" w:lineRule="auto"/>
        <w:ind w:firstLine="424" w:firstLineChars="177"/>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lang w:val="zh-CN" w:eastAsia="zh-CN"/>
        </w:rPr>
        <w:t>4、项目概况：项目主要建设内容为栽植色带</w:t>
      </w:r>
      <w:r>
        <w:rPr>
          <w:rFonts w:hint="eastAsia" w:ascii="宋体" w:hAnsi="宋体" w:cs="宋体"/>
          <w:color w:val="auto"/>
          <w:sz w:val="24"/>
          <w:highlight w:val="none"/>
          <w:lang w:val="zh-CN" w:eastAsia="zh-CN"/>
        </w:rPr>
        <w:t>、</w:t>
      </w:r>
      <w:r>
        <w:rPr>
          <w:rFonts w:hint="eastAsia" w:ascii="宋体" w:hAnsi="宋体" w:cs="宋体"/>
          <w:color w:val="auto"/>
          <w:sz w:val="24"/>
          <w:highlight w:val="none"/>
          <w:lang w:val="en-US" w:eastAsia="zh-CN"/>
        </w:rPr>
        <w:t>铺种草皮等</w:t>
      </w:r>
      <w:r>
        <w:rPr>
          <w:rFonts w:hint="eastAsia" w:ascii="宋体" w:hAnsi="宋体" w:cs="宋体"/>
          <w:color w:val="auto"/>
          <w:sz w:val="24"/>
          <w:highlight w:val="none"/>
          <w:lang w:val="zh-CN" w:eastAsia="zh-CN"/>
        </w:rPr>
        <w:t>。</w:t>
      </w:r>
      <w:r>
        <w:rPr>
          <w:rFonts w:hint="eastAsia" w:ascii="宋体" w:hAnsi="宋体" w:eastAsia="宋体" w:cs="宋体"/>
          <w:color w:val="auto"/>
          <w:sz w:val="24"/>
          <w:highlight w:val="none"/>
          <w:lang w:val="zh-CN" w:eastAsia="zh-CN"/>
        </w:rPr>
        <w:t>（详见招标文件及工程量清单）。</w:t>
      </w:r>
    </w:p>
    <w:p w14:paraId="5A599ED2">
      <w:pPr>
        <w:spacing w:line="360" w:lineRule="auto"/>
        <w:rPr>
          <w:rFonts w:hint="eastAsia" w:ascii="宋体" w:hAnsi="宋体" w:eastAsia="宋体" w:cs="宋体"/>
          <w:color w:val="auto"/>
          <w:sz w:val="24"/>
          <w:highlight w:val="none"/>
          <w:lang w:val="zh-CN" w:eastAsia="zh-CN"/>
        </w:rPr>
      </w:pP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eastAsia="zh-CN"/>
        </w:rPr>
        <w:t>、本项目控制</w:t>
      </w:r>
      <w:r>
        <w:rPr>
          <w:rFonts w:hint="eastAsia" w:ascii="宋体" w:hAnsi="宋体" w:eastAsia="宋体" w:cs="宋体"/>
          <w:b/>
          <w:bCs/>
          <w:color w:val="auto"/>
          <w:sz w:val="24"/>
          <w:highlight w:val="none"/>
          <w:lang w:val="en-US" w:eastAsia="zh-CN"/>
        </w:rPr>
        <w:t>限</w:t>
      </w:r>
      <w:r>
        <w:rPr>
          <w:rFonts w:hint="eastAsia" w:ascii="宋体" w:hAnsi="宋体" w:eastAsia="宋体" w:cs="宋体"/>
          <w:b/>
          <w:bCs/>
          <w:color w:val="auto"/>
          <w:sz w:val="24"/>
          <w:highlight w:val="none"/>
          <w:lang w:val="zh-CN" w:eastAsia="zh-CN"/>
        </w:rPr>
        <w:t>价：</w:t>
      </w:r>
      <w:r>
        <w:rPr>
          <w:rFonts w:hint="eastAsia" w:ascii="宋体" w:hAnsi="宋体" w:eastAsia="宋体" w:cs="宋体"/>
          <w:b/>
          <w:bCs/>
          <w:color w:val="auto"/>
          <w:sz w:val="24"/>
          <w:szCs w:val="24"/>
          <w:highlight w:val="none"/>
          <w:u w:val="single"/>
          <w:lang w:val="en-US" w:eastAsia="zh-CN"/>
        </w:rPr>
        <w:t>1070799.05元</w:t>
      </w:r>
      <w:r>
        <w:rPr>
          <w:rFonts w:hint="eastAsia" w:ascii="宋体" w:hAnsi="宋体" w:eastAsia="宋体" w:cs="宋体"/>
          <w:color w:val="auto"/>
          <w:sz w:val="24"/>
          <w:highlight w:val="none"/>
          <w:lang w:val="zh-CN" w:eastAsia="zh-CN"/>
        </w:rPr>
        <w:t>。</w:t>
      </w:r>
    </w:p>
    <w:p w14:paraId="3CA125AD">
      <w:pPr>
        <w:spacing w:line="360" w:lineRule="auto"/>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lang w:val="en-US" w:eastAsia="zh-CN"/>
        </w:rPr>
        <w:t>、具体项目清单</w:t>
      </w:r>
    </w:p>
    <w:p w14:paraId="533A8E0B">
      <w:pPr>
        <w:pStyle w:val="26"/>
        <w:ind w:left="0" w:leftChars="0" w:firstLine="0" w:firstLineChars="0"/>
        <w:rPr>
          <w:rFonts w:hint="eastAsia"/>
          <w:lang w:val="zh-CN" w:eastAsia="zh-CN"/>
        </w:rPr>
        <w:sectPr>
          <w:footerReference r:id="rId7" w:type="default"/>
          <w:pgSz w:w="11920" w:h="16840"/>
          <w:pgMar w:top="1431" w:right="1495" w:bottom="890" w:left="1587" w:header="0" w:footer="763" w:gutter="0"/>
          <w:cols w:space="720" w:num="1"/>
        </w:sectPr>
      </w:pPr>
    </w:p>
    <w:tbl>
      <w:tblPr>
        <w:tblStyle w:val="19"/>
        <w:tblW w:w="98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4"/>
        <w:gridCol w:w="1868"/>
        <w:gridCol w:w="747"/>
        <w:gridCol w:w="1121"/>
        <w:gridCol w:w="1121"/>
        <w:gridCol w:w="1370"/>
        <w:gridCol w:w="1245"/>
      </w:tblGrid>
      <w:tr w14:paraId="78475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91" w:hRule="atLeast"/>
        </w:trPr>
        <w:tc>
          <w:tcPr>
            <w:tcW w:w="9839" w:type="dxa"/>
            <w:gridSpan w:val="8"/>
            <w:tcBorders>
              <w:top w:val="nil"/>
              <w:left w:val="nil"/>
              <w:bottom w:val="nil"/>
              <w:right w:val="nil"/>
            </w:tcBorders>
            <w:shd w:val="clear" w:color="auto" w:fill="auto"/>
            <w:noWrap/>
            <w:vAlign w:val="center"/>
          </w:tcPr>
          <w:p w14:paraId="76A80A4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分部分项工程量清单与计价表</w:t>
            </w:r>
          </w:p>
        </w:tc>
      </w:tr>
      <w:tr w14:paraId="1EFA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4982" w:type="dxa"/>
            <w:gridSpan w:val="4"/>
            <w:tcBorders>
              <w:top w:val="nil"/>
              <w:left w:val="nil"/>
              <w:bottom w:val="single" w:color="000000" w:sz="8" w:space="0"/>
              <w:right w:val="nil"/>
            </w:tcBorders>
            <w:shd w:val="clear" w:color="auto" w:fill="auto"/>
            <w:vAlign w:val="center"/>
          </w:tcPr>
          <w:p w14:paraId="6118C2DA">
            <w:pPr>
              <w:keepNext w:val="0"/>
              <w:keepLines w:val="0"/>
              <w:widowControl/>
              <w:suppressLineNumbers w:val="0"/>
              <w:jc w:val="left"/>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工程名称：园区绿化</w:t>
            </w:r>
          </w:p>
        </w:tc>
        <w:tc>
          <w:tcPr>
            <w:tcW w:w="1121" w:type="dxa"/>
            <w:tcBorders>
              <w:top w:val="nil"/>
              <w:left w:val="nil"/>
              <w:bottom w:val="single" w:color="000000" w:sz="8" w:space="0"/>
              <w:right w:val="nil"/>
            </w:tcBorders>
            <w:shd w:val="clear" w:color="auto" w:fill="auto"/>
            <w:vAlign w:val="center"/>
          </w:tcPr>
          <w:p w14:paraId="6276383D">
            <w:pPr>
              <w:jc w:val="left"/>
              <w:rPr>
                <w:rFonts w:hint="eastAsia" w:ascii="黑体" w:hAnsi="宋体" w:eastAsia="黑体" w:cs="黑体"/>
                <w:i w:val="0"/>
                <w:iCs w:val="0"/>
                <w:color w:val="000000"/>
                <w:sz w:val="21"/>
                <w:szCs w:val="21"/>
                <w:u w:val="none"/>
              </w:rPr>
            </w:pPr>
          </w:p>
        </w:tc>
        <w:tc>
          <w:tcPr>
            <w:tcW w:w="1121" w:type="dxa"/>
            <w:tcBorders>
              <w:top w:val="nil"/>
              <w:left w:val="nil"/>
              <w:bottom w:val="single" w:color="000000" w:sz="8" w:space="0"/>
              <w:right w:val="nil"/>
            </w:tcBorders>
            <w:shd w:val="clear" w:color="auto" w:fill="auto"/>
            <w:vAlign w:val="center"/>
          </w:tcPr>
          <w:p w14:paraId="596035C2">
            <w:pPr>
              <w:jc w:val="left"/>
              <w:rPr>
                <w:rFonts w:hint="eastAsia" w:ascii="黑体" w:hAnsi="宋体" w:eastAsia="黑体" w:cs="黑体"/>
                <w:i w:val="0"/>
                <w:iCs w:val="0"/>
                <w:color w:val="000000"/>
                <w:sz w:val="21"/>
                <w:szCs w:val="21"/>
                <w:u w:val="none"/>
              </w:rPr>
            </w:pPr>
          </w:p>
        </w:tc>
        <w:tc>
          <w:tcPr>
            <w:tcW w:w="1370" w:type="dxa"/>
            <w:tcBorders>
              <w:top w:val="nil"/>
              <w:left w:val="nil"/>
              <w:bottom w:val="single" w:color="000000" w:sz="8" w:space="0"/>
              <w:right w:val="nil"/>
            </w:tcBorders>
            <w:shd w:val="clear" w:color="auto" w:fill="auto"/>
            <w:vAlign w:val="center"/>
          </w:tcPr>
          <w:p w14:paraId="7ACC950D">
            <w:pPr>
              <w:jc w:val="left"/>
              <w:rPr>
                <w:rFonts w:hint="eastAsia" w:ascii="黑体" w:hAnsi="宋体" w:eastAsia="黑体" w:cs="黑体"/>
                <w:i w:val="0"/>
                <w:iCs w:val="0"/>
                <w:color w:val="000000"/>
                <w:sz w:val="21"/>
                <w:szCs w:val="21"/>
                <w:u w:val="none"/>
              </w:rPr>
            </w:pPr>
          </w:p>
        </w:tc>
        <w:tc>
          <w:tcPr>
            <w:tcW w:w="0" w:type="auto"/>
            <w:tcBorders>
              <w:top w:val="nil"/>
              <w:left w:val="nil"/>
              <w:bottom w:val="single" w:color="000000" w:sz="8" w:space="0"/>
              <w:right w:val="nil"/>
            </w:tcBorders>
            <w:shd w:val="clear" w:color="auto" w:fill="auto"/>
            <w:noWrap/>
            <w:vAlign w:val="center"/>
          </w:tcPr>
          <w:p w14:paraId="40DA9DD3">
            <w:pPr>
              <w:jc w:val="right"/>
              <w:rPr>
                <w:rFonts w:hint="eastAsia" w:ascii="黑体" w:hAnsi="宋体" w:eastAsia="黑体" w:cs="黑体"/>
                <w:i w:val="0"/>
                <w:iCs w:val="0"/>
                <w:color w:val="000000"/>
                <w:sz w:val="21"/>
                <w:szCs w:val="21"/>
                <w:u w:val="none"/>
              </w:rPr>
            </w:pPr>
          </w:p>
        </w:tc>
      </w:tr>
      <w:tr w14:paraId="42272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23"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09F0B13A">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1744"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496722C">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项目编码</w:t>
            </w:r>
          </w:p>
        </w:tc>
        <w:tc>
          <w:tcPr>
            <w:tcW w:w="1868"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770DBE4">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r>
              <w:rPr>
                <w:rFonts w:hint="eastAsia" w:ascii="黑体" w:hAnsi="宋体" w:eastAsia="黑体" w:cs="黑体"/>
                <w:i w:val="0"/>
                <w:iCs w:val="0"/>
                <w:color w:val="000000"/>
                <w:kern w:val="0"/>
                <w:sz w:val="21"/>
                <w:szCs w:val="21"/>
                <w:u w:val="none"/>
                <w:lang w:val="en-US" w:eastAsia="zh-CN" w:bidi="ar"/>
              </w:rPr>
              <w:br w:type="textWrapping"/>
            </w:r>
            <w:r>
              <w:rPr>
                <w:rFonts w:hint="eastAsia" w:ascii="黑体" w:hAnsi="宋体" w:eastAsia="黑体" w:cs="黑体"/>
                <w:i w:val="0"/>
                <w:iCs w:val="0"/>
                <w:color w:val="000000"/>
                <w:kern w:val="0"/>
                <w:sz w:val="21"/>
                <w:szCs w:val="21"/>
                <w:u w:val="none"/>
                <w:lang w:val="en-US" w:eastAsia="zh-CN" w:bidi="ar"/>
              </w:rPr>
              <w:t>项目特征</w:t>
            </w:r>
          </w:p>
        </w:tc>
        <w:tc>
          <w:tcPr>
            <w:tcW w:w="747"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29B803D">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计量</w:t>
            </w:r>
            <w:r>
              <w:rPr>
                <w:rFonts w:hint="eastAsia" w:ascii="黑体" w:hAnsi="宋体" w:eastAsia="黑体" w:cs="黑体"/>
                <w:i w:val="0"/>
                <w:iCs w:val="0"/>
                <w:color w:val="000000"/>
                <w:kern w:val="0"/>
                <w:sz w:val="21"/>
                <w:szCs w:val="21"/>
                <w:u w:val="none"/>
                <w:lang w:val="en-US" w:eastAsia="zh-CN" w:bidi="ar"/>
              </w:rPr>
              <w:br w:type="textWrapping"/>
            </w:r>
            <w:r>
              <w:rPr>
                <w:rFonts w:hint="eastAsia" w:ascii="黑体" w:hAnsi="宋体" w:eastAsia="黑体" w:cs="黑体"/>
                <w:i w:val="0"/>
                <w:iCs w:val="0"/>
                <w:color w:val="000000"/>
                <w:kern w:val="0"/>
                <w:sz w:val="21"/>
                <w:szCs w:val="21"/>
                <w:u w:val="none"/>
                <w:lang w:val="en-US" w:eastAsia="zh-CN" w:bidi="ar"/>
              </w:rPr>
              <w:t>单位</w:t>
            </w:r>
          </w:p>
        </w:tc>
        <w:tc>
          <w:tcPr>
            <w:tcW w:w="1121"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098DF97">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工程量</w:t>
            </w:r>
          </w:p>
        </w:tc>
        <w:tc>
          <w:tcPr>
            <w:tcW w:w="3736" w:type="dxa"/>
            <w:gridSpan w:val="3"/>
            <w:tcBorders>
              <w:top w:val="single" w:color="000000" w:sz="8" w:space="0"/>
              <w:left w:val="single" w:color="000000" w:sz="4" w:space="0"/>
              <w:bottom w:val="single" w:color="000000" w:sz="4" w:space="0"/>
              <w:right w:val="single" w:color="000000" w:sz="8" w:space="0"/>
            </w:tcBorders>
            <w:shd w:val="clear" w:color="FFFFFF" w:fill="FFFFFF"/>
            <w:vAlign w:val="center"/>
          </w:tcPr>
          <w:p w14:paraId="782BBEAB">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金额(元)</w:t>
            </w:r>
          </w:p>
        </w:tc>
      </w:tr>
      <w:tr w14:paraId="5B5BD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23"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1CCEAD26">
            <w:pPr>
              <w:jc w:val="center"/>
              <w:rPr>
                <w:rFonts w:hint="eastAsia" w:ascii="黑体" w:hAnsi="宋体" w:eastAsia="黑体" w:cs="黑体"/>
                <w:i w:val="0"/>
                <w:iCs w:val="0"/>
                <w:color w:val="000000"/>
                <w:sz w:val="21"/>
                <w:szCs w:val="21"/>
                <w:u w:val="none"/>
              </w:rPr>
            </w:pPr>
          </w:p>
        </w:tc>
        <w:tc>
          <w:tcPr>
            <w:tcW w:w="174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AC3BA4A">
            <w:pPr>
              <w:jc w:val="center"/>
              <w:rPr>
                <w:rFonts w:hint="eastAsia" w:ascii="黑体" w:hAnsi="宋体" w:eastAsia="黑体" w:cs="黑体"/>
                <w:i w:val="0"/>
                <w:iCs w:val="0"/>
                <w:color w:val="000000"/>
                <w:sz w:val="21"/>
                <w:szCs w:val="21"/>
                <w:u w:val="none"/>
              </w:rPr>
            </w:pPr>
          </w:p>
        </w:tc>
        <w:tc>
          <w:tcPr>
            <w:tcW w:w="1868"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72E2CF1">
            <w:pPr>
              <w:jc w:val="center"/>
              <w:rPr>
                <w:rFonts w:hint="eastAsia" w:ascii="黑体" w:hAnsi="宋体" w:eastAsia="黑体" w:cs="黑体"/>
                <w:i w:val="0"/>
                <w:iCs w:val="0"/>
                <w:color w:val="000000"/>
                <w:sz w:val="21"/>
                <w:szCs w:val="21"/>
                <w:u w:val="none"/>
              </w:rPr>
            </w:pPr>
          </w:p>
        </w:tc>
        <w:tc>
          <w:tcPr>
            <w:tcW w:w="74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306CBC2">
            <w:pPr>
              <w:jc w:val="center"/>
              <w:rPr>
                <w:rFonts w:hint="eastAsia" w:ascii="黑体" w:hAnsi="宋体" w:eastAsia="黑体" w:cs="黑体"/>
                <w:i w:val="0"/>
                <w:iCs w:val="0"/>
                <w:color w:val="000000"/>
                <w:sz w:val="21"/>
                <w:szCs w:val="21"/>
                <w:u w:val="none"/>
              </w:rPr>
            </w:pPr>
          </w:p>
        </w:tc>
        <w:tc>
          <w:tcPr>
            <w:tcW w:w="1121"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37D473C">
            <w:pPr>
              <w:jc w:val="center"/>
              <w:rPr>
                <w:rFonts w:hint="eastAsia" w:ascii="黑体" w:hAnsi="宋体" w:eastAsia="黑体" w:cs="黑体"/>
                <w:i w:val="0"/>
                <w:iCs w:val="0"/>
                <w:color w:val="000000"/>
                <w:sz w:val="21"/>
                <w:szCs w:val="21"/>
                <w:u w:val="none"/>
              </w:rPr>
            </w:pPr>
          </w:p>
        </w:tc>
        <w:tc>
          <w:tcPr>
            <w:tcW w:w="11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3B37B6">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综合单价</w:t>
            </w:r>
          </w:p>
        </w:tc>
        <w:tc>
          <w:tcPr>
            <w:tcW w:w="13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8F1B43">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合价</w:t>
            </w:r>
          </w:p>
        </w:tc>
        <w:tc>
          <w:tcPr>
            <w:tcW w:w="124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25E55E6">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其中：</w:t>
            </w:r>
            <w:r>
              <w:rPr>
                <w:rFonts w:hint="eastAsia" w:ascii="黑体" w:hAnsi="宋体" w:eastAsia="黑体" w:cs="黑体"/>
                <w:i w:val="0"/>
                <w:iCs w:val="0"/>
                <w:color w:val="000000"/>
                <w:kern w:val="0"/>
                <w:sz w:val="21"/>
                <w:szCs w:val="21"/>
                <w:u w:val="none"/>
                <w:lang w:val="en-US" w:eastAsia="zh-CN" w:bidi="ar"/>
              </w:rPr>
              <w:br w:type="textWrapping"/>
            </w:r>
            <w:r>
              <w:rPr>
                <w:rFonts w:hint="eastAsia" w:ascii="黑体" w:hAnsi="宋体" w:eastAsia="黑体" w:cs="黑体"/>
                <w:i w:val="0"/>
                <w:iCs w:val="0"/>
                <w:color w:val="000000"/>
                <w:kern w:val="0"/>
                <w:sz w:val="21"/>
                <w:szCs w:val="21"/>
                <w:u w:val="none"/>
                <w:lang w:val="en-US" w:eastAsia="zh-CN" w:bidi="ar"/>
              </w:rPr>
              <w:t>暂估价</w:t>
            </w:r>
          </w:p>
        </w:tc>
      </w:tr>
      <w:tr w14:paraId="17AF6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0" w:hRule="atLeast"/>
        </w:trPr>
        <w:tc>
          <w:tcPr>
            <w:tcW w:w="623"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C9D67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740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050102007001</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EE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栽植色带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1、苗木种类：冬青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2、苗木株高、株距：高度：40cm，冠幅：25cm，丛生苗，树形美观、饱满、枝叶密实、不退脚，49柱/平方米，栽植后不露表土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3、养护期：二级养护，养护期一年</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D0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B3E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C0D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F15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EDA273">
            <w:pPr>
              <w:jc w:val="right"/>
              <w:rPr>
                <w:rFonts w:hint="eastAsia" w:ascii="宋体" w:hAnsi="宋体" w:eastAsia="宋体" w:cs="宋体"/>
                <w:i w:val="0"/>
                <w:iCs w:val="0"/>
                <w:color w:val="000000"/>
                <w:sz w:val="21"/>
                <w:szCs w:val="21"/>
                <w:u w:val="none"/>
              </w:rPr>
            </w:pPr>
          </w:p>
        </w:tc>
      </w:tr>
      <w:tr w14:paraId="447E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5" w:hRule="atLeast"/>
        </w:trPr>
        <w:tc>
          <w:tcPr>
            <w:tcW w:w="623"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0DA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DD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050102007002</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4D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栽植色带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1、苗木种类：红叶石楠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2、苗木株高、株距：高度：40cm，冠幅：25cm，丛生苗，树形美观、饱满、枝叶密实、不退脚，49柱/平方米，栽植后不露表土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3、养护期：二级养护，养护期一年</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295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77D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7EC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89C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7460477">
            <w:pPr>
              <w:jc w:val="right"/>
              <w:rPr>
                <w:rFonts w:hint="eastAsia" w:ascii="宋体" w:hAnsi="宋体" w:eastAsia="宋体" w:cs="宋体"/>
                <w:i w:val="0"/>
                <w:iCs w:val="0"/>
                <w:color w:val="000000"/>
                <w:sz w:val="21"/>
                <w:szCs w:val="21"/>
                <w:u w:val="none"/>
              </w:rPr>
            </w:pPr>
          </w:p>
        </w:tc>
      </w:tr>
      <w:tr w14:paraId="67F35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0" w:hRule="atLeast"/>
        </w:trPr>
        <w:tc>
          <w:tcPr>
            <w:tcW w:w="623"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4647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82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050102007004</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3A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栽植色带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1、苗木种类：黄杨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2、苗木株高、株距：高度：40cm，冠幅：25cm，丛生苗，树形美观、饱满、枝叶密实、不退脚，49柱/平方米，栽植后不露表土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3、养护期：二级养护，养护期一年</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8E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2D1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2450.000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B91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FF28">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D21C76D">
            <w:pPr>
              <w:jc w:val="right"/>
              <w:rPr>
                <w:rFonts w:hint="eastAsia" w:ascii="宋体" w:hAnsi="宋体" w:eastAsia="宋体" w:cs="宋体"/>
                <w:i w:val="0"/>
                <w:iCs w:val="0"/>
                <w:color w:val="000000"/>
                <w:sz w:val="21"/>
                <w:szCs w:val="21"/>
                <w:u w:val="none"/>
              </w:rPr>
            </w:pPr>
          </w:p>
        </w:tc>
      </w:tr>
      <w:tr w14:paraId="75171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0" w:hRule="atLeast"/>
        </w:trPr>
        <w:tc>
          <w:tcPr>
            <w:tcW w:w="623"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9CC29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D6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050102007005</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9A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栽植色带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1、苗木种类：连翘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2、苗木株高、株距：高度：40cm，冠幅：25cm，丛生苗，树形美观、饱满、枝叶密实、不退脚，49柱/平方米，栽植后不露表土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3、养护期：二级养护，养护期一年</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59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E63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2500.000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2A7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D0F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F0EFF01">
            <w:pPr>
              <w:jc w:val="right"/>
              <w:rPr>
                <w:rFonts w:hint="eastAsia" w:ascii="宋体" w:hAnsi="宋体" w:eastAsia="宋体" w:cs="宋体"/>
                <w:i w:val="0"/>
                <w:iCs w:val="0"/>
                <w:color w:val="000000"/>
                <w:sz w:val="21"/>
                <w:szCs w:val="21"/>
                <w:u w:val="none"/>
              </w:rPr>
            </w:pPr>
          </w:p>
        </w:tc>
      </w:tr>
      <w:tr w14:paraId="25286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623"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780CF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65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050102010001</w:t>
            </w:r>
          </w:p>
        </w:tc>
        <w:tc>
          <w:tcPr>
            <w:tcW w:w="1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2D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铺种草皮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1、草皮种类：成品草皮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2、养护期：二级养护，养护期一年</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16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779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3500.000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652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A1D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FE0E42E">
            <w:pPr>
              <w:jc w:val="right"/>
              <w:rPr>
                <w:rFonts w:hint="eastAsia" w:ascii="宋体" w:hAnsi="宋体" w:eastAsia="宋体" w:cs="宋体"/>
                <w:i w:val="0"/>
                <w:iCs w:val="0"/>
                <w:color w:val="000000"/>
                <w:sz w:val="21"/>
                <w:szCs w:val="21"/>
                <w:u w:val="none"/>
              </w:rPr>
            </w:pPr>
          </w:p>
        </w:tc>
      </w:tr>
      <w:tr w14:paraId="64885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224" w:type="dxa"/>
            <w:gridSpan w:val="6"/>
            <w:tcBorders>
              <w:top w:val="single" w:color="000000" w:sz="4" w:space="0"/>
              <w:left w:val="single" w:color="000000" w:sz="8" w:space="0"/>
              <w:bottom w:val="single" w:color="000000" w:sz="8" w:space="0"/>
              <w:right w:val="single" w:color="000000" w:sz="4" w:space="0"/>
            </w:tcBorders>
            <w:shd w:val="clear" w:color="auto" w:fill="auto"/>
            <w:vAlign w:val="center"/>
          </w:tcPr>
          <w:p w14:paraId="5A6208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    计</w:t>
            </w:r>
          </w:p>
        </w:tc>
        <w:tc>
          <w:tcPr>
            <w:tcW w:w="137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D7145A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8" w:space="0"/>
              <w:right w:val="single" w:color="000000" w:sz="8" w:space="0"/>
            </w:tcBorders>
            <w:shd w:val="clear" w:color="auto" w:fill="auto"/>
            <w:vAlign w:val="center"/>
          </w:tcPr>
          <w:p w14:paraId="124D5B19">
            <w:pPr>
              <w:jc w:val="right"/>
              <w:rPr>
                <w:rFonts w:hint="eastAsia" w:ascii="宋体" w:hAnsi="宋体" w:eastAsia="宋体" w:cs="宋体"/>
                <w:i w:val="0"/>
                <w:iCs w:val="0"/>
                <w:color w:val="000000"/>
                <w:sz w:val="21"/>
                <w:szCs w:val="21"/>
                <w:u w:val="none"/>
              </w:rPr>
            </w:pPr>
          </w:p>
        </w:tc>
      </w:tr>
    </w:tbl>
    <w:p w14:paraId="2F48E870">
      <w:pPr>
        <w:pStyle w:val="26"/>
        <w:ind w:left="0" w:leftChars="0" w:firstLine="0" w:firstLineChars="0"/>
        <w:rPr>
          <w:rFonts w:hint="eastAsia"/>
          <w:lang w:val="zh-CN" w:eastAsia="zh-CN"/>
        </w:rPr>
        <w:sectPr>
          <w:pgSz w:w="11920" w:h="16840"/>
          <w:pgMar w:top="1431" w:right="1495" w:bottom="890" w:left="1587" w:header="0" w:footer="763" w:gutter="0"/>
          <w:cols w:space="720" w:num="1"/>
        </w:sectPr>
      </w:pPr>
    </w:p>
    <w:tbl>
      <w:tblPr>
        <w:tblStyle w:val="19"/>
        <w:tblW w:w="94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9"/>
        <w:gridCol w:w="2293"/>
        <w:gridCol w:w="4096"/>
        <w:gridCol w:w="1064"/>
        <w:gridCol w:w="1148"/>
      </w:tblGrid>
      <w:tr w14:paraId="79328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9420" w:type="dxa"/>
            <w:gridSpan w:val="5"/>
            <w:tcBorders>
              <w:top w:val="nil"/>
              <w:left w:val="nil"/>
              <w:bottom w:val="nil"/>
              <w:right w:val="nil"/>
            </w:tcBorders>
            <w:shd w:val="clear" w:color="auto" w:fill="auto"/>
            <w:noWrap/>
            <w:vAlign w:val="center"/>
          </w:tcPr>
          <w:p w14:paraId="744789D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规费、税金清单计价表</w:t>
            </w:r>
          </w:p>
        </w:tc>
      </w:tr>
      <w:tr w14:paraId="4B0BB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208" w:type="dxa"/>
            <w:gridSpan w:val="3"/>
            <w:tcBorders>
              <w:top w:val="nil"/>
              <w:left w:val="nil"/>
              <w:bottom w:val="single" w:color="000000" w:sz="8" w:space="0"/>
              <w:right w:val="nil"/>
            </w:tcBorders>
            <w:shd w:val="clear" w:color="auto" w:fill="auto"/>
            <w:vAlign w:val="center"/>
          </w:tcPr>
          <w:p w14:paraId="177AE8BA">
            <w:pPr>
              <w:keepNext w:val="0"/>
              <w:keepLines w:val="0"/>
              <w:widowControl/>
              <w:suppressLineNumbers w:val="0"/>
              <w:jc w:val="left"/>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工程名称：园区绿化</w:t>
            </w:r>
          </w:p>
        </w:tc>
        <w:tc>
          <w:tcPr>
            <w:tcW w:w="1064" w:type="dxa"/>
            <w:tcBorders>
              <w:top w:val="nil"/>
              <w:left w:val="nil"/>
              <w:bottom w:val="single" w:color="000000" w:sz="8" w:space="0"/>
              <w:right w:val="nil"/>
            </w:tcBorders>
            <w:shd w:val="clear" w:color="auto" w:fill="auto"/>
            <w:vAlign w:val="center"/>
          </w:tcPr>
          <w:p w14:paraId="7B163FE8">
            <w:pPr>
              <w:jc w:val="left"/>
              <w:rPr>
                <w:rFonts w:hint="eastAsia" w:ascii="黑体" w:hAnsi="宋体" w:eastAsia="黑体" w:cs="黑体"/>
                <w:i w:val="0"/>
                <w:iCs w:val="0"/>
                <w:color w:val="000000"/>
                <w:sz w:val="21"/>
                <w:szCs w:val="21"/>
                <w:u w:val="none"/>
              </w:rPr>
            </w:pPr>
          </w:p>
        </w:tc>
        <w:tc>
          <w:tcPr>
            <w:tcW w:w="0" w:type="auto"/>
            <w:tcBorders>
              <w:top w:val="nil"/>
              <w:left w:val="nil"/>
              <w:bottom w:val="single" w:color="000000" w:sz="8" w:space="0"/>
              <w:right w:val="nil"/>
            </w:tcBorders>
            <w:shd w:val="clear" w:color="auto" w:fill="auto"/>
            <w:noWrap/>
            <w:vAlign w:val="center"/>
          </w:tcPr>
          <w:p w14:paraId="7909A7D3">
            <w:pPr>
              <w:jc w:val="right"/>
              <w:rPr>
                <w:rFonts w:hint="eastAsia" w:ascii="黑体" w:hAnsi="宋体" w:eastAsia="黑体" w:cs="黑体"/>
                <w:i w:val="0"/>
                <w:iCs w:val="0"/>
                <w:color w:val="000000"/>
                <w:sz w:val="21"/>
                <w:szCs w:val="21"/>
                <w:u w:val="none"/>
              </w:rPr>
            </w:pPr>
          </w:p>
        </w:tc>
      </w:tr>
      <w:tr w14:paraId="0D560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19"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2C07BD31">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229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205E465">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p>
        </w:tc>
        <w:tc>
          <w:tcPr>
            <w:tcW w:w="409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7B2ED34">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计算基础</w:t>
            </w:r>
          </w:p>
        </w:tc>
        <w:tc>
          <w:tcPr>
            <w:tcW w:w="106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C7DF6A0">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费率(％)</w:t>
            </w:r>
          </w:p>
        </w:tc>
        <w:tc>
          <w:tcPr>
            <w:tcW w:w="1148"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51B12782">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金额(元)</w:t>
            </w:r>
          </w:p>
        </w:tc>
      </w:tr>
      <w:tr w14:paraId="05D54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8902D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A1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7E8D">
            <w:pPr>
              <w:jc w:val="left"/>
              <w:rPr>
                <w:rFonts w:hint="eastAsia" w:ascii="宋体" w:hAnsi="宋体" w:eastAsia="宋体" w:cs="宋体"/>
                <w:i w:val="0"/>
                <w:iCs w:val="0"/>
                <w:color w:val="000000"/>
                <w:sz w:val="21"/>
                <w:szCs w:val="21"/>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E9C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94C896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2285F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80C6B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68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安全文明施工费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E741">
            <w:pPr>
              <w:jc w:val="left"/>
              <w:rPr>
                <w:rFonts w:hint="eastAsia" w:ascii="宋体" w:hAnsi="宋体" w:eastAsia="宋体" w:cs="宋体"/>
                <w:i w:val="0"/>
                <w:iCs w:val="0"/>
                <w:color w:val="000000"/>
                <w:sz w:val="21"/>
                <w:szCs w:val="21"/>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8B9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E4A452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3C0F1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571E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6F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安全施工费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20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48C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D7264F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31C84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B20B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8C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环境保护费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71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4C9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DDDFF24">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4591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FC861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56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文明施工费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D9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FA66">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0.840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716594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3C7C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CB30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CC8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临时设施费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A2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62B8">
            <w:pPr>
              <w:jc w:val="right"/>
              <w:rPr>
                <w:rFonts w:hint="eastAsia" w:ascii="宋体" w:hAnsi="宋体" w:eastAsia="宋体" w:cs="宋体"/>
                <w:i w:val="0"/>
                <w:iCs w:val="0"/>
                <w:color w:val="000000"/>
                <w:sz w:val="21"/>
                <w:szCs w:val="21"/>
                <w:u w:val="none"/>
              </w:rPr>
            </w:pP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5589633">
            <w:pPr>
              <w:jc w:val="right"/>
              <w:rPr>
                <w:rFonts w:hint="eastAsia" w:ascii="宋体" w:hAnsi="宋体" w:eastAsia="宋体" w:cs="宋体"/>
                <w:i w:val="0"/>
                <w:iCs w:val="0"/>
                <w:color w:val="000000"/>
                <w:sz w:val="21"/>
                <w:szCs w:val="21"/>
                <w:u w:val="none"/>
              </w:rPr>
            </w:pPr>
          </w:p>
        </w:tc>
      </w:tr>
      <w:tr w14:paraId="2C57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B649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AC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社会保障费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9C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D31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8CCD838">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08359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014E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E8D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住房公积金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CE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分部分项人工费+措施项目人工费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0DDA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0EE4D1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4DD78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9D59F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1A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危险作业意外伤害保险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23C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1FB6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0.105</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841B034">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66D81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819"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B0B35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46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税金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5F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分部分项工程费+措施项目费+其他项目费+规费</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ADF9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1148"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3341A6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r w14:paraId="6F3E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272" w:type="dxa"/>
            <w:gridSpan w:val="4"/>
            <w:tcBorders>
              <w:top w:val="single" w:color="000000" w:sz="4" w:space="0"/>
              <w:left w:val="single" w:color="000000" w:sz="8" w:space="0"/>
              <w:bottom w:val="single" w:color="000000" w:sz="8" w:space="0"/>
              <w:right w:val="single" w:color="000000" w:sz="4" w:space="0"/>
            </w:tcBorders>
            <w:shd w:val="clear" w:color="auto" w:fill="auto"/>
            <w:vAlign w:val="center"/>
          </w:tcPr>
          <w:p w14:paraId="053316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  计</w:t>
            </w:r>
          </w:p>
        </w:tc>
        <w:tc>
          <w:tcPr>
            <w:tcW w:w="1148" w:type="dxa"/>
            <w:tcBorders>
              <w:top w:val="single" w:color="000000" w:sz="4" w:space="0"/>
              <w:left w:val="single" w:color="000000" w:sz="4" w:space="0"/>
              <w:bottom w:val="single" w:color="000000" w:sz="8" w:space="0"/>
              <w:right w:val="single" w:color="000000" w:sz="8" w:space="0"/>
            </w:tcBorders>
            <w:shd w:val="clear" w:color="auto" w:fill="auto"/>
            <w:vAlign w:val="center"/>
          </w:tcPr>
          <w:p w14:paraId="1F9252A5">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p>
        </w:tc>
      </w:tr>
    </w:tbl>
    <w:p w14:paraId="506A20CD">
      <w:pPr>
        <w:pStyle w:val="26"/>
        <w:ind w:left="0" w:leftChars="0" w:firstLine="0" w:firstLineChars="0"/>
        <w:rPr>
          <w:rFonts w:hint="eastAsia"/>
          <w:lang w:val="zh-CN" w:eastAsia="zh-CN"/>
        </w:rPr>
        <w:sectPr>
          <w:pgSz w:w="11920" w:h="16840"/>
          <w:pgMar w:top="1431" w:right="1495" w:bottom="890" w:left="1587" w:header="0" w:footer="763" w:gutter="0"/>
          <w:cols w:space="720" w:num="1"/>
        </w:sectPr>
      </w:pPr>
    </w:p>
    <w:p w14:paraId="078330B3">
      <w:pPr>
        <w:pStyle w:val="7"/>
        <w:keepNext w:val="0"/>
        <w:keepLines w:val="0"/>
        <w:pageBreakBefore w:val="0"/>
        <w:widowControl w:val="0"/>
        <w:tabs>
          <w:tab w:val="clear" w:pos="567"/>
        </w:tabs>
        <w:kinsoku/>
        <w:wordWrap/>
        <w:overflowPunct/>
        <w:topLinePunct w:val="0"/>
        <w:autoSpaceDE/>
        <w:autoSpaceDN/>
        <w:bidi w:val="0"/>
        <w:adjustRightInd/>
        <w:snapToGrid/>
        <w:spacing w:before="0" w:line="360" w:lineRule="auto"/>
        <w:ind w:firstLine="723" w:firstLineChars="225"/>
        <w:jc w:val="center"/>
        <w:textAlignment w:val="auto"/>
        <w:outlineLvl w:val="0"/>
        <w:rPr>
          <w:rFonts w:hAnsi="宋体" w:cs="宋体"/>
          <w:color w:val="auto"/>
          <w:highlight w:val="none"/>
        </w:rPr>
      </w:pPr>
      <w:bookmarkStart w:id="251" w:name="_Toc25632"/>
      <w:r>
        <w:rPr>
          <w:rFonts w:hint="eastAsia" w:ascii="宋体" w:hAnsi="宋体" w:eastAsia="宋体" w:cs="宋体"/>
          <w:b/>
          <w:color w:val="auto"/>
          <w:kern w:val="44"/>
          <w:sz w:val="32"/>
          <w:szCs w:val="20"/>
          <w:highlight w:val="none"/>
          <w:lang w:val="en-US" w:eastAsia="zh-CN" w:bidi="ar-SA"/>
        </w:rPr>
        <w:t>第5章</w:t>
      </w:r>
      <w:bookmarkStart w:id="252" w:name="_Toc7971"/>
      <w:bookmarkStart w:id="253" w:name="_Toc4766816"/>
      <w:bookmarkStart w:id="254" w:name="_Toc507399907"/>
      <w:bookmarkStart w:id="255" w:name="_Toc32647"/>
      <w:bookmarkStart w:id="256" w:name="_Toc515647832"/>
      <w:r>
        <w:rPr>
          <w:rFonts w:hint="eastAsia" w:ascii="宋体" w:hAnsi="宋体" w:eastAsia="宋体" w:cs="宋体"/>
          <w:b/>
          <w:color w:val="auto"/>
          <w:kern w:val="44"/>
          <w:sz w:val="32"/>
          <w:szCs w:val="20"/>
          <w:highlight w:val="none"/>
          <w:lang w:val="en-US" w:eastAsia="zh-CN" w:bidi="ar-SA"/>
        </w:rPr>
        <w:t>评审方法和标准</w:t>
      </w:r>
      <w:bookmarkEnd w:id="247"/>
      <w:bookmarkEnd w:id="248"/>
      <w:bookmarkEnd w:id="249"/>
      <w:bookmarkEnd w:id="250"/>
      <w:bookmarkEnd w:id="251"/>
      <w:bookmarkEnd w:id="252"/>
      <w:bookmarkEnd w:id="253"/>
      <w:bookmarkEnd w:id="254"/>
      <w:bookmarkEnd w:id="255"/>
      <w:bookmarkEnd w:id="256"/>
    </w:p>
    <w:p w14:paraId="4E69D5DE">
      <w:pPr>
        <w:pStyle w:val="7"/>
        <w:tabs>
          <w:tab w:val="clear" w:pos="567"/>
        </w:tabs>
        <w:spacing w:before="0" w:line="360" w:lineRule="auto"/>
        <w:ind w:firstLine="540" w:firstLineChars="225"/>
        <w:rPr>
          <w:rFonts w:cs="宋体"/>
          <w:color w:val="auto"/>
          <w:highlight w:val="none"/>
        </w:rPr>
      </w:pPr>
    </w:p>
    <w:p w14:paraId="554D69FE">
      <w:pPr>
        <w:spacing w:line="360" w:lineRule="auto"/>
        <w:ind w:firstLine="424" w:firstLineChars="177"/>
        <w:rPr>
          <w:rFonts w:ascii="宋体" w:hAnsi="宋体" w:cs="宋体"/>
          <w:color w:val="auto"/>
          <w:sz w:val="24"/>
          <w:highlight w:val="none"/>
        </w:rPr>
      </w:pPr>
      <w:r>
        <w:rPr>
          <w:rFonts w:hint="eastAsia" w:ascii="宋体" w:hAnsi="宋体" w:cs="宋体"/>
          <w:color w:val="auto"/>
          <w:sz w:val="24"/>
          <w:highlight w:val="none"/>
        </w:rPr>
        <w:t>本项目将按照竞争性磋商文件第一章供应商须知中“五、提交响应文件截止及磋商”、“六、确定成交”及本章的规定评审。</w:t>
      </w:r>
    </w:p>
    <w:p w14:paraId="3EACC02C">
      <w:pPr>
        <w:numPr>
          <w:ilvl w:val="0"/>
          <w:numId w:val="3"/>
        </w:numPr>
        <w:spacing w:line="360" w:lineRule="auto"/>
        <w:ind w:firstLine="424" w:firstLineChars="177"/>
        <w:rPr>
          <w:rFonts w:ascii="宋体" w:hAnsi="宋体" w:cs="宋体"/>
          <w:color w:val="auto"/>
          <w:sz w:val="24"/>
          <w:highlight w:val="none"/>
        </w:rPr>
      </w:pPr>
      <w:r>
        <w:rPr>
          <w:rFonts w:hint="eastAsia" w:ascii="宋体" w:hAnsi="宋体" w:cs="宋体"/>
          <w:color w:val="auto"/>
          <w:sz w:val="24"/>
          <w:highlight w:val="none"/>
        </w:rPr>
        <w:t>评审方法</w:t>
      </w:r>
    </w:p>
    <w:p w14:paraId="24C08512">
      <w:pPr>
        <w:pStyle w:val="7"/>
        <w:tabs>
          <w:tab w:val="clear" w:pos="567"/>
        </w:tabs>
        <w:spacing w:before="0" w:line="360" w:lineRule="auto"/>
        <w:ind w:firstLine="540" w:firstLineChars="225"/>
        <w:rPr>
          <w:rFonts w:hint="eastAsia" w:cs="宋体"/>
          <w:color w:val="auto"/>
          <w:highlight w:val="none"/>
        </w:rPr>
      </w:pPr>
      <w:bookmarkStart w:id="257" w:name="percentDesc"/>
      <w:bookmarkEnd w:id="257"/>
      <w:r>
        <w:rPr>
          <w:rFonts w:hint="eastAsia" w:cs="宋体"/>
          <w:color w:val="auto"/>
          <w:highlight w:val="none"/>
        </w:rPr>
        <w:t>本次评审采用综合评分法</w:t>
      </w:r>
      <w:r>
        <w:rPr>
          <w:rFonts w:hint="eastAsia" w:cs="宋体"/>
          <w:b/>
          <w:color w:val="auto"/>
          <w:highlight w:val="none"/>
        </w:rPr>
        <w:t>（磋商方式适用）</w:t>
      </w:r>
      <w:r>
        <w:rPr>
          <w:rFonts w:hint="eastAsia" w:cs="宋体"/>
          <w:color w:val="auto"/>
          <w:highlight w:val="none"/>
        </w:rPr>
        <w:t>，将依据供应商响应文件对其资信、业绩、产品质量、服务、技术方案、价格等各项因素进行评价，综合评选出最佳报价方案。每一供应商的最终得分为所有评委评分的算术平均值。评审结果按评审得分由高到低顺序排列。得分相同的，按最后报价由低到高顺序排列。得分且最后报价相同的，按技术指标优劣由高到低顺序排列。</w:t>
      </w:r>
    </w:p>
    <w:p w14:paraId="470F9D67">
      <w:pPr>
        <w:pStyle w:val="7"/>
        <w:tabs>
          <w:tab w:val="clear" w:pos="567"/>
        </w:tabs>
        <w:spacing w:before="0" w:line="360" w:lineRule="auto"/>
        <w:ind w:firstLine="540" w:firstLineChars="225"/>
        <w:rPr>
          <w:rFonts w:cs="宋体"/>
          <w:color w:val="auto"/>
          <w:highlight w:val="none"/>
        </w:rPr>
      </w:pPr>
      <w:r>
        <w:rPr>
          <w:rFonts w:hint="eastAsia" w:cs="宋体"/>
          <w:color w:val="auto"/>
          <w:highlight w:val="none"/>
        </w:rPr>
        <w:t>采购代理机构在评审结束后2个工作日内将评审报告送采购人。采购人应当自收到评审报告之日起5个工作日内，在评审报告确定的成交候选人名单中按顺序确定成交供应商，并向采购代理机构出具确认函。如采购人5个工作日内未按评审报告推荐的成交候选人顺序确定成交供应商，又不能说明合法理由的，视同按评审报告推荐的顺序确定成交供应商。</w:t>
      </w:r>
    </w:p>
    <w:p w14:paraId="33D2CA9A">
      <w:pPr>
        <w:pStyle w:val="7"/>
        <w:tabs>
          <w:tab w:val="clear" w:pos="567"/>
        </w:tabs>
        <w:spacing w:before="0" w:line="360" w:lineRule="auto"/>
        <w:ind w:firstLine="540" w:firstLineChars="225"/>
        <w:rPr>
          <w:rFonts w:cs="宋体"/>
          <w:color w:val="auto"/>
          <w:highlight w:val="none"/>
        </w:rPr>
      </w:pPr>
    </w:p>
    <w:p w14:paraId="6B1A602A">
      <w:pPr>
        <w:spacing w:line="360" w:lineRule="auto"/>
        <w:ind w:firstLine="424" w:firstLineChars="177"/>
        <w:rPr>
          <w:rFonts w:ascii="宋体" w:hAnsi="宋体" w:cs="宋体"/>
          <w:color w:val="auto"/>
          <w:sz w:val="24"/>
          <w:highlight w:val="none"/>
        </w:rPr>
      </w:pPr>
    </w:p>
    <w:p w14:paraId="15A45257">
      <w:pPr>
        <w:pStyle w:val="25"/>
        <w:ind w:firstLine="480"/>
        <w:rPr>
          <w:rFonts w:ascii="宋体" w:hAnsi="宋体" w:cs="宋体"/>
          <w:color w:val="auto"/>
          <w:highlight w:val="none"/>
        </w:rPr>
      </w:pPr>
    </w:p>
    <w:p w14:paraId="1525C0FC">
      <w:pPr>
        <w:pStyle w:val="25"/>
        <w:ind w:firstLine="480"/>
        <w:rPr>
          <w:rFonts w:ascii="宋体" w:hAnsi="宋体" w:cs="宋体"/>
          <w:color w:val="auto"/>
          <w:highlight w:val="none"/>
        </w:rPr>
      </w:pPr>
    </w:p>
    <w:p w14:paraId="3DB99C56">
      <w:pPr>
        <w:pStyle w:val="25"/>
        <w:ind w:firstLine="480"/>
        <w:rPr>
          <w:rFonts w:ascii="宋体" w:hAnsi="宋体" w:cs="宋体"/>
          <w:color w:val="auto"/>
          <w:highlight w:val="none"/>
        </w:rPr>
      </w:pPr>
    </w:p>
    <w:p w14:paraId="13941784">
      <w:pPr>
        <w:pStyle w:val="25"/>
        <w:ind w:firstLine="480"/>
        <w:rPr>
          <w:rFonts w:ascii="宋体" w:hAnsi="宋体" w:cs="宋体"/>
          <w:color w:val="auto"/>
          <w:highlight w:val="none"/>
        </w:rPr>
      </w:pPr>
    </w:p>
    <w:p w14:paraId="7C4C7924">
      <w:pPr>
        <w:pStyle w:val="25"/>
        <w:ind w:firstLine="480"/>
        <w:rPr>
          <w:rFonts w:ascii="宋体" w:hAnsi="宋体" w:cs="宋体"/>
          <w:color w:val="auto"/>
          <w:highlight w:val="none"/>
        </w:rPr>
      </w:pPr>
    </w:p>
    <w:p w14:paraId="222BE57C">
      <w:pPr>
        <w:pStyle w:val="25"/>
        <w:ind w:firstLine="480"/>
        <w:rPr>
          <w:rFonts w:ascii="宋体" w:hAnsi="宋体" w:cs="宋体"/>
          <w:color w:val="auto"/>
          <w:highlight w:val="none"/>
        </w:rPr>
      </w:pPr>
    </w:p>
    <w:p w14:paraId="012524ED">
      <w:pPr>
        <w:pStyle w:val="25"/>
        <w:ind w:firstLine="480"/>
        <w:rPr>
          <w:rFonts w:ascii="宋体" w:hAnsi="宋体" w:cs="宋体"/>
          <w:color w:val="auto"/>
          <w:highlight w:val="none"/>
        </w:rPr>
      </w:pPr>
    </w:p>
    <w:p w14:paraId="5327C28E">
      <w:pPr>
        <w:pStyle w:val="25"/>
        <w:ind w:firstLine="480"/>
        <w:rPr>
          <w:rFonts w:ascii="宋体" w:hAnsi="宋体" w:cs="宋体"/>
          <w:color w:val="auto"/>
          <w:highlight w:val="none"/>
        </w:rPr>
      </w:pPr>
    </w:p>
    <w:p w14:paraId="5994DA1B">
      <w:pPr>
        <w:pStyle w:val="25"/>
        <w:ind w:firstLine="480"/>
        <w:rPr>
          <w:rFonts w:ascii="宋体" w:hAnsi="宋体" w:cs="宋体"/>
          <w:color w:val="auto"/>
          <w:highlight w:val="none"/>
        </w:rPr>
      </w:pPr>
    </w:p>
    <w:p w14:paraId="29D7AB9D">
      <w:pPr>
        <w:pStyle w:val="25"/>
        <w:ind w:firstLine="480"/>
        <w:rPr>
          <w:rFonts w:ascii="宋体" w:hAnsi="宋体" w:cs="宋体"/>
          <w:color w:val="auto"/>
          <w:highlight w:val="none"/>
        </w:rPr>
      </w:pPr>
    </w:p>
    <w:p w14:paraId="7FFB9F01">
      <w:pPr>
        <w:pStyle w:val="25"/>
        <w:ind w:firstLine="480"/>
        <w:rPr>
          <w:rFonts w:ascii="宋体" w:hAnsi="宋体" w:cs="宋体"/>
          <w:color w:val="auto"/>
          <w:highlight w:val="none"/>
        </w:rPr>
      </w:pPr>
    </w:p>
    <w:p w14:paraId="3DF47F30">
      <w:pPr>
        <w:pStyle w:val="25"/>
        <w:ind w:firstLine="480"/>
        <w:rPr>
          <w:rFonts w:ascii="宋体" w:hAnsi="宋体" w:cs="宋体"/>
          <w:color w:val="auto"/>
          <w:highlight w:val="none"/>
        </w:rPr>
      </w:pPr>
    </w:p>
    <w:p w14:paraId="4EA2299D">
      <w:pPr>
        <w:pStyle w:val="25"/>
        <w:ind w:firstLine="480"/>
        <w:rPr>
          <w:rFonts w:ascii="宋体" w:hAnsi="宋体" w:cs="宋体"/>
          <w:color w:val="auto"/>
          <w:highlight w:val="none"/>
        </w:rPr>
      </w:pPr>
    </w:p>
    <w:p w14:paraId="763BF578">
      <w:pPr>
        <w:pStyle w:val="25"/>
        <w:ind w:firstLine="480"/>
        <w:rPr>
          <w:rFonts w:ascii="宋体" w:hAnsi="宋体" w:cs="宋体"/>
          <w:color w:val="auto"/>
          <w:highlight w:val="none"/>
        </w:rPr>
      </w:pPr>
    </w:p>
    <w:p w14:paraId="2CEFC22D">
      <w:pPr>
        <w:pStyle w:val="25"/>
        <w:ind w:firstLine="480"/>
        <w:rPr>
          <w:rFonts w:ascii="宋体" w:hAnsi="宋体" w:cs="宋体"/>
          <w:color w:val="auto"/>
          <w:highlight w:val="none"/>
        </w:rPr>
      </w:pPr>
    </w:p>
    <w:p w14:paraId="012C9E5C">
      <w:pPr>
        <w:pStyle w:val="25"/>
        <w:ind w:firstLine="480"/>
        <w:rPr>
          <w:rFonts w:ascii="宋体" w:hAnsi="宋体" w:cs="宋体"/>
          <w:color w:val="auto"/>
          <w:highlight w:val="none"/>
        </w:rPr>
      </w:pPr>
    </w:p>
    <w:p w14:paraId="7FF247A7">
      <w:pPr>
        <w:pStyle w:val="25"/>
        <w:ind w:firstLine="480"/>
        <w:rPr>
          <w:rFonts w:ascii="宋体" w:hAnsi="宋体" w:cs="宋体"/>
          <w:color w:val="auto"/>
          <w:highlight w:val="none"/>
        </w:rPr>
      </w:pPr>
    </w:p>
    <w:p w14:paraId="4A11FB4B">
      <w:pPr>
        <w:pStyle w:val="25"/>
        <w:ind w:firstLine="480"/>
        <w:rPr>
          <w:rFonts w:ascii="宋体" w:hAnsi="宋体" w:cs="宋体"/>
          <w:color w:val="auto"/>
          <w:highlight w:val="none"/>
        </w:rPr>
      </w:pPr>
    </w:p>
    <w:p w14:paraId="23E310A3">
      <w:pPr>
        <w:pStyle w:val="25"/>
        <w:ind w:firstLine="480"/>
        <w:rPr>
          <w:rFonts w:ascii="宋体" w:hAnsi="宋体" w:cs="宋体"/>
          <w:color w:val="auto"/>
          <w:highlight w:val="none"/>
        </w:rPr>
      </w:pPr>
    </w:p>
    <w:p w14:paraId="3D7D150B">
      <w:pPr>
        <w:pStyle w:val="25"/>
        <w:ind w:firstLine="480"/>
        <w:rPr>
          <w:rFonts w:ascii="宋体" w:hAnsi="宋体" w:cs="宋体"/>
          <w:color w:val="auto"/>
          <w:highlight w:val="none"/>
        </w:rPr>
      </w:pPr>
    </w:p>
    <w:p w14:paraId="5754AF41">
      <w:pPr>
        <w:spacing w:line="360" w:lineRule="auto"/>
        <w:ind w:firstLine="424" w:firstLineChars="177"/>
        <w:rPr>
          <w:rFonts w:ascii="宋体" w:hAnsi="宋体" w:cs="宋体"/>
          <w:color w:val="auto"/>
          <w:sz w:val="24"/>
          <w:highlight w:val="none"/>
        </w:rPr>
      </w:pPr>
      <w:r>
        <w:rPr>
          <w:rFonts w:hint="eastAsia" w:ascii="宋体" w:hAnsi="宋体" w:cs="宋体"/>
          <w:color w:val="auto"/>
          <w:sz w:val="24"/>
          <w:highlight w:val="none"/>
        </w:rPr>
        <w:t>二、评标标准</w:t>
      </w:r>
    </w:p>
    <w:p w14:paraId="173A3F7B">
      <w:pPr>
        <w:pStyle w:val="3"/>
        <w:spacing w:line="360" w:lineRule="auto"/>
        <w:rPr>
          <w:rFonts w:hint="default" w:ascii="宋体" w:hAnsi="宋体" w:eastAsia="宋体" w:cs="宋体"/>
          <w:b/>
          <w:color w:val="auto"/>
          <w:kern w:val="0"/>
          <w:sz w:val="30"/>
          <w:szCs w:val="20"/>
          <w:highlight w:val="none"/>
          <w:lang w:val="en-US" w:eastAsia="zh-CN" w:bidi="ar-SA"/>
        </w:rPr>
      </w:pPr>
      <w:bookmarkStart w:id="258" w:name="_Toc28573"/>
      <w:bookmarkStart w:id="259" w:name="_Toc45562497"/>
      <w:bookmarkStart w:id="260" w:name="_Toc46238261"/>
      <w:bookmarkStart w:id="261" w:name="_Toc46136844"/>
      <w:r>
        <w:rPr>
          <w:rFonts w:hint="eastAsia" w:ascii="宋体" w:hAnsi="宋体" w:eastAsia="宋体" w:cs="宋体"/>
          <w:color w:val="auto"/>
          <w:highlight w:val="none"/>
        </w:rPr>
        <w:t>（一）初步评审</w:t>
      </w:r>
      <w:bookmarkEnd w:id="258"/>
      <w:bookmarkEnd w:id="259"/>
      <w:bookmarkEnd w:id="260"/>
      <w:bookmarkEnd w:id="261"/>
    </w:p>
    <w:tbl>
      <w:tblPr>
        <w:tblStyle w:val="27"/>
        <w:tblW w:w="975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8"/>
        <w:gridCol w:w="527"/>
        <w:gridCol w:w="6076"/>
        <w:gridCol w:w="2325"/>
      </w:tblGrid>
      <w:tr w14:paraId="31F8C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jc w:val="center"/>
        </w:trPr>
        <w:tc>
          <w:tcPr>
            <w:tcW w:w="828" w:type="dxa"/>
            <w:noWrap w:val="0"/>
            <w:vAlign w:val="top"/>
          </w:tcPr>
          <w:p w14:paraId="7E575A13">
            <w:pPr>
              <w:spacing w:before="98" w:line="360" w:lineRule="auto"/>
              <w:jc w:val="center"/>
              <w:rPr>
                <w:rFonts w:ascii="宋体" w:hAnsi="宋体" w:eastAsia="宋体" w:cs="宋体"/>
                <w:color w:val="auto"/>
                <w:spacing w:val="-3"/>
              </w:rPr>
            </w:pPr>
            <w:r>
              <w:rPr>
                <w:rFonts w:ascii="宋体" w:hAnsi="宋体" w:eastAsia="宋体" w:cs="宋体"/>
                <w:color w:val="auto"/>
                <w:spacing w:val="-3"/>
              </w:rPr>
              <w:t>评审方式</w:t>
            </w:r>
          </w:p>
        </w:tc>
        <w:tc>
          <w:tcPr>
            <w:tcW w:w="527" w:type="dxa"/>
            <w:noWrap w:val="0"/>
            <w:textDirection w:val="tbRlV"/>
            <w:vAlign w:val="top"/>
          </w:tcPr>
          <w:p w14:paraId="3FD525F8">
            <w:pPr>
              <w:spacing w:before="98" w:line="360" w:lineRule="auto"/>
              <w:jc w:val="center"/>
              <w:rPr>
                <w:rFonts w:ascii="宋体" w:hAnsi="宋体" w:eastAsia="宋体" w:cs="宋体"/>
                <w:color w:val="auto"/>
                <w:spacing w:val="-3"/>
              </w:rPr>
            </w:pPr>
            <w:r>
              <w:rPr>
                <w:rFonts w:ascii="宋体" w:hAnsi="宋体" w:eastAsia="宋体" w:cs="宋体"/>
                <w:color w:val="auto"/>
                <w:spacing w:val="-3"/>
              </w:rPr>
              <w:t>序号</w:t>
            </w:r>
          </w:p>
        </w:tc>
        <w:tc>
          <w:tcPr>
            <w:tcW w:w="6076" w:type="dxa"/>
            <w:noWrap w:val="0"/>
            <w:vAlign w:val="center"/>
          </w:tcPr>
          <w:p w14:paraId="67602770">
            <w:pPr>
              <w:spacing w:before="98" w:line="360" w:lineRule="auto"/>
              <w:jc w:val="center"/>
              <w:rPr>
                <w:rFonts w:ascii="宋体" w:hAnsi="宋体" w:eastAsia="宋体" w:cs="宋体"/>
                <w:color w:val="auto"/>
              </w:rPr>
            </w:pPr>
            <w:r>
              <w:rPr>
                <w:rFonts w:ascii="宋体" w:hAnsi="宋体" w:eastAsia="宋体" w:cs="宋体"/>
                <w:color w:val="auto"/>
                <w:spacing w:val="-3"/>
              </w:rPr>
              <w:t>评审因素</w:t>
            </w:r>
          </w:p>
        </w:tc>
        <w:tc>
          <w:tcPr>
            <w:tcW w:w="2325" w:type="dxa"/>
            <w:noWrap w:val="0"/>
            <w:vAlign w:val="center"/>
          </w:tcPr>
          <w:p w14:paraId="3F212D51">
            <w:pPr>
              <w:spacing w:before="32" w:line="360" w:lineRule="auto"/>
              <w:ind w:right="140"/>
              <w:jc w:val="center"/>
              <w:rPr>
                <w:rFonts w:ascii="宋体" w:hAnsi="宋体" w:eastAsia="宋体" w:cs="宋体"/>
                <w:color w:val="auto"/>
              </w:rPr>
            </w:pPr>
            <w:r>
              <w:rPr>
                <w:rFonts w:ascii="宋体" w:hAnsi="宋体" w:eastAsia="宋体" w:cs="宋体"/>
                <w:color w:val="auto"/>
                <w:spacing w:val="-3"/>
              </w:rPr>
              <w:t>评审标</w:t>
            </w:r>
            <w:r>
              <w:rPr>
                <w:rFonts w:ascii="宋体" w:hAnsi="宋体" w:eastAsia="宋体" w:cs="宋体"/>
                <w:color w:val="auto"/>
              </w:rPr>
              <w:t>准</w:t>
            </w:r>
          </w:p>
        </w:tc>
      </w:tr>
      <w:tr w14:paraId="4BE6B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828" w:type="dxa"/>
            <w:vMerge w:val="restart"/>
            <w:noWrap w:val="0"/>
            <w:vAlign w:val="top"/>
          </w:tcPr>
          <w:p w14:paraId="08F9497F">
            <w:pPr>
              <w:spacing w:line="360" w:lineRule="auto"/>
              <w:rPr>
                <w:rFonts w:ascii="宋体"/>
                <w:color w:val="auto"/>
              </w:rPr>
            </w:pPr>
          </w:p>
          <w:p w14:paraId="6C1B1BC4">
            <w:pPr>
              <w:spacing w:line="360" w:lineRule="auto"/>
              <w:rPr>
                <w:rFonts w:ascii="宋体"/>
                <w:color w:val="auto"/>
              </w:rPr>
            </w:pPr>
          </w:p>
          <w:p w14:paraId="49946B7F">
            <w:pPr>
              <w:spacing w:before="69" w:line="360" w:lineRule="auto"/>
              <w:ind w:left="6" w:leftChars="0" w:right="89" w:rightChars="0" w:firstLine="2" w:firstLineChars="0"/>
              <w:rPr>
                <w:rFonts w:ascii="宋体" w:hAnsi="宋体" w:eastAsia="宋体" w:cs="宋体"/>
                <w:color w:val="auto"/>
              </w:rPr>
            </w:pPr>
            <w:r>
              <w:rPr>
                <w:rFonts w:ascii="宋体" w:hAnsi="宋体" w:eastAsia="宋体" w:cs="宋体"/>
                <w:color w:val="auto"/>
                <w:spacing w:val="-8"/>
              </w:rPr>
              <w:t>符合性</w:t>
            </w:r>
            <w:r>
              <w:rPr>
                <w:rFonts w:ascii="宋体" w:hAnsi="宋体" w:eastAsia="宋体" w:cs="宋体"/>
                <w:color w:val="auto"/>
                <w:spacing w:val="-5"/>
              </w:rPr>
              <w:t>评审</w:t>
            </w:r>
          </w:p>
        </w:tc>
        <w:tc>
          <w:tcPr>
            <w:tcW w:w="527" w:type="dxa"/>
            <w:noWrap w:val="0"/>
            <w:vAlign w:val="top"/>
          </w:tcPr>
          <w:p w14:paraId="78C159EE">
            <w:pPr>
              <w:spacing w:before="64" w:line="360" w:lineRule="auto"/>
              <w:ind w:firstLine="238" w:firstLineChars="0"/>
              <w:rPr>
                <w:rFonts w:ascii="宋体" w:hAnsi="宋体" w:eastAsia="宋体" w:cs="宋体"/>
                <w:color w:val="auto"/>
              </w:rPr>
            </w:pPr>
            <w:r>
              <w:rPr>
                <w:rFonts w:ascii="宋体" w:hAnsi="宋体" w:eastAsia="宋体" w:cs="宋体"/>
                <w:color w:val="auto"/>
              </w:rPr>
              <w:t>1</w:t>
            </w:r>
          </w:p>
        </w:tc>
        <w:tc>
          <w:tcPr>
            <w:tcW w:w="6076" w:type="dxa"/>
            <w:noWrap w:val="0"/>
            <w:vAlign w:val="top"/>
          </w:tcPr>
          <w:p w14:paraId="11CEA695">
            <w:pPr>
              <w:spacing w:before="29" w:line="360" w:lineRule="auto"/>
              <w:ind w:firstLine="204" w:firstLineChars="100"/>
              <w:jc w:val="left"/>
              <w:rPr>
                <w:rFonts w:ascii="宋体" w:hAnsi="宋体" w:eastAsia="宋体" w:cs="宋体"/>
                <w:color w:val="auto"/>
                <w:spacing w:val="-3"/>
              </w:rPr>
            </w:pPr>
            <w:r>
              <w:rPr>
                <w:rFonts w:ascii="宋体" w:hAnsi="宋体" w:eastAsia="宋体" w:cs="宋体"/>
                <w:color w:val="auto"/>
                <w:spacing w:val="-3"/>
              </w:rPr>
              <w:t>未按照竞争性磋商文件规定要求签署、盖章的</w:t>
            </w:r>
          </w:p>
        </w:tc>
        <w:tc>
          <w:tcPr>
            <w:tcW w:w="2325" w:type="dxa"/>
            <w:noWrap w:val="0"/>
            <w:vAlign w:val="center"/>
          </w:tcPr>
          <w:p w14:paraId="2D6D0B0C">
            <w:pPr>
              <w:spacing w:before="29" w:line="360" w:lineRule="auto"/>
              <w:jc w:val="left"/>
              <w:rPr>
                <w:rFonts w:hint="default" w:ascii="宋体" w:hAnsi="宋体" w:eastAsia="宋体" w:cs="宋体"/>
                <w:color w:val="auto"/>
                <w:spacing w:val="-3"/>
                <w:lang w:val="en-US" w:eastAsia="zh-CN"/>
              </w:rPr>
            </w:pPr>
            <w:r>
              <w:rPr>
                <w:rFonts w:ascii="宋体" w:hAnsi="宋体" w:eastAsia="宋体" w:cs="宋体"/>
                <w:color w:val="auto"/>
                <w:spacing w:val="-3"/>
              </w:rPr>
              <w:t>是否按要求提供</w:t>
            </w:r>
          </w:p>
        </w:tc>
      </w:tr>
      <w:tr w14:paraId="6F840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jc w:val="center"/>
        </w:trPr>
        <w:tc>
          <w:tcPr>
            <w:tcW w:w="828" w:type="dxa"/>
            <w:vMerge w:val="continue"/>
            <w:noWrap w:val="0"/>
            <w:vAlign w:val="top"/>
          </w:tcPr>
          <w:p w14:paraId="165E2C5B">
            <w:pPr>
              <w:spacing w:line="360" w:lineRule="auto"/>
              <w:rPr>
                <w:rFonts w:ascii="宋体"/>
                <w:color w:val="auto"/>
              </w:rPr>
            </w:pPr>
          </w:p>
        </w:tc>
        <w:tc>
          <w:tcPr>
            <w:tcW w:w="527" w:type="dxa"/>
            <w:noWrap w:val="0"/>
            <w:vAlign w:val="top"/>
          </w:tcPr>
          <w:p w14:paraId="348A64AA">
            <w:pPr>
              <w:spacing w:before="134" w:line="360" w:lineRule="auto"/>
              <w:ind w:firstLine="225" w:firstLineChars="0"/>
              <w:rPr>
                <w:rFonts w:ascii="宋体" w:hAnsi="宋体" w:eastAsia="宋体" w:cs="宋体"/>
                <w:color w:val="auto"/>
              </w:rPr>
            </w:pPr>
            <w:r>
              <w:rPr>
                <w:rFonts w:ascii="宋体" w:hAnsi="宋体" w:eastAsia="宋体" w:cs="宋体"/>
                <w:color w:val="auto"/>
              </w:rPr>
              <w:t>2</w:t>
            </w:r>
          </w:p>
        </w:tc>
        <w:tc>
          <w:tcPr>
            <w:tcW w:w="6076" w:type="dxa"/>
            <w:noWrap w:val="0"/>
            <w:vAlign w:val="top"/>
          </w:tcPr>
          <w:p w14:paraId="03F4DD42">
            <w:pPr>
              <w:spacing w:before="29" w:line="360" w:lineRule="auto"/>
              <w:ind w:firstLine="204" w:firstLineChars="100"/>
              <w:jc w:val="left"/>
              <w:rPr>
                <w:rFonts w:ascii="宋体" w:hAnsi="宋体" w:eastAsia="宋体" w:cs="宋体"/>
                <w:color w:val="auto"/>
                <w:spacing w:val="-3"/>
              </w:rPr>
            </w:pPr>
            <w:r>
              <w:rPr>
                <w:rFonts w:ascii="宋体" w:hAnsi="宋体" w:eastAsia="宋体" w:cs="宋体"/>
                <w:color w:val="auto"/>
                <w:spacing w:val="-3"/>
              </w:rPr>
              <w:t>报价一览表</w:t>
            </w:r>
          </w:p>
        </w:tc>
        <w:tc>
          <w:tcPr>
            <w:tcW w:w="2325" w:type="dxa"/>
            <w:noWrap w:val="0"/>
            <w:vAlign w:val="center"/>
          </w:tcPr>
          <w:p w14:paraId="4638AE87">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r w14:paraId="4D4068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jc w:val="center"/>
        </w:trPr>
        <w:tc>
          <w:tcPr>
            <w:tcW w:w="828" w:type="dxa"/>
            <w:vMerge w:val="continue"/>
            <w:noWrap w:val="0"/>
            <w:vAlign w:val="top"/>
          </w:tcPr>
          <w:p w14:paraId="0F48D2AE">
            <w:pPr>
              <w:spacing w:line="360" w:lineRule="auto"/>
              <w:rPr>
                <w:rFonts w:ascii="宋体"/>
                <w:color w:val="auto"/>
              </w:rPr>
            </w:pPr>
          </w:p>
        </w:tc>
        <w:tc>
          <w:tcPr>
            <w:tcW w:w="527" w:type="dxa"/>
            <w:noWrap w:val="0"/>
            <w:vAlign w:val="center"/>
          </w:tcPr>
          <w:p w14:paraId="0E185644">
            <w:pPr>
              <w:spacing w:before="134" w:line="360" w:lineRule="auto"/>
              <w:ind w:firstLine="225" w:firstLineChars="0"/>
              <w:rPr>
                <w:rFonts w:hint="eastAsia" w:ascii="宋体" w:hAnsi="宋体" w:eastAsia="宋体" w:cs="宋体"/>
                <w:color w:val="auto"/>
                <w:lang w:val="en-US" w:eastAsia="zh-CN"/>
              </w:rPr>
            </w:pPr>
            <w:r>
              <w:rPr>
                <w:rFonts w:hint="eastAsia" w:ascii="宋体" w:hAnsi="宋体" w:cs="宋体"/>
                <w:color w:val="auto"/>
                <w:lang w:val="en-US" w:eastAsia="zh-CN"/>
              </w:rPr>
              <w:t>3</w:t>
            </w:r>
          </w:p>
        </w:tc>
        <w:tc>
          <w:tcPr>
            <w:tcW w:w="6076" w:type="dxa"/>
            <w:noWrap w:val="0"/>
            <w:vAlign w:val="center"/>
          </w:tcPr>
          <w:p w14:paraId="3CF3CBDE">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技术明细表（含偏离）</w:t>
            </w:r>
          </w:p>
        </w:tc>
        <w:tc>
          <w:tcPr>
            <w:tcW w:w="2325" w:type="dxa"/>
            <w:noWrap w:val="0"/>
            <w:vAlign w:val="center"/>
          </w:tcPr>
          <w:p w14:paraId="1CC8E6EA">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r w14:paraId="1FBEF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828" w:type="dxa"/>
            <w:vMerge w:val="continue"/>
            <w:noWrap w:val="0"/>
            <w:vAlign w:val="top"/>
          </w:tcPr>
          <w:p w14:paraId="48ADBAE5">
            <w:pPr>
              <w:spacing w:line="360" w:lineRule="auto"/>
              <w:rPr>
                <w:rFonts w:ascii="宋体"/>
                <w:color w:val="auto"/>
              </w:rPr>
            </w:pPr>
          </w:p>
        </w:tc>
        <w:tc>
          <w:tcPr>
            <w:tcW w:w="527" w:type="dxa"/>
            <w:noWrap w:val="0"/>
            <w:vAlign w:val="top"/>
          </w:tcPr>
          <w:p w14:paraId="75A1ED48">
            <w:pPr>
              <w:spacing w:before="134" w:line="360" w:lineRule="auto"/>
              <w:ind w:firstLine="225" w:firstLineChars="0"/>
              <w:rPr>
                <w:rFonts w:hint="eastAsia" w:ascii="宋体" w:hAnsi="宋体" w:eastAsia="宋体" w:cs="宋体"/>
                <w:color w:val="auto"/>
                <w:lang w:val="en-US" w:eastAsia="zh-CN"/>
              </w:rPr>
            </w:pPr>
            <w:r>
              <w:rPr>
                <w:rFonts w:hint="eastAsia" w:ascii="宋体" w:hAnsi="宋体" w:cs="宋体"/>
                <w:color w:val="auto"/>
                <w:lang w:val="en-US" w:eastAsia="zh-CN"/>
              </w:rPr>
              <w:t>4</w:t>
            </w:r>
          </w:p>
        </w:tc>
        <w:tc>
          <w:tcPr>
            <w:tcW w:w="6076" w:type="dxa"/>
            <w:noWrap w:val="0"/>
            <w:vAlign w:val="top"/>
          </w:tcPr>
          <w:p w14:paraId="43617B5A">
            <w:pPr>
              <w:spacing w:before="134" w:line="360" w:lineRule="auto"/>
              <w:rPr>
                <w:rFonts w:ascii="宋体" w:hAnsi="宋体" w:eastAsia="宋体" w:cs="宋体"/>
                <w:color w:val="auto"/>
                <w:spacing w:val="-3"/>
              </w:rPr>
            </w:pPr>
            <w:r>
              <w:rPr>
                <w:rFonts w:ascii="宋体" w:hAnsi="宋体" w:eastAsia="宋体" w:cs="宋体"/>
                <w:color w:val="auto"/>
              </w:rPr>
              <w:t>“</w:t>
            </w:r>
            <w:r>
              <w:rPr>
                <w:rFonts w:hint="eastAsia" w:ascii="宋体" w:hAnsi="宋体" w:eastAsia="宋体" w:cs="宋体"/>
                <w:color w:val="auto"/>
              </w:rPr>
              <w:t>第4章</w:t>
            </w:r>
            <w:r>
              <w:rPr>
                <w:rFonts w:hint="eastAsia" w:ascii="宋体" w:hAnsi="宋体" w:eastAsia="宋体" w:cs="宋体"/>
                <w:color w:val="auto"/>
                <w:lang w:val="en-US" w:eastAsia="zh-CN"/>
              </w:rPr>
              <w:t>项目情况</w:t>
            </w:r>
            <w:r>
              <w:rPr>
                <w:rFonts w:ascii="宋体" w:hAnsi="宋体" w:eastAsia="宋体" w:cs="宋体"/>
                <w:color w:val="auto"/>
              </w:rPr>
              <w:t>”中实质性要求条款情况</w:t>
            </w:r>
          </w:p>
        </w:tc>
        <w:tc>
          <w:tcPr>
            <w:tcW w:w="2325" w:type="dxa"/>
            <w:noWrap w:val="0"/>
            <w:vAlign w:val="center"/>
          </w:tcPr>
          <w:p w14:paraId="42A52278">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是否满足</w:t>
            </w:r>
          </w:p>
        </w:tc>
      </w:tr>
      <w:tr w14:paraId="574F6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jc w:val="center"/>
        </w:trPr>
        <w:tc>
          <w:tcPr>
            <w:tcW w:w="828" w:type="dxa"/>
            <w:vMerge w:val="continue"/>
            <w:noWrap w:val="0"/>
            <w:vAlign w:val="top"/>
          </w:tcPr>
          <w:p w14:paraId="11E4459E">
            <w:pPr>
              <w:spacing w:line="360" w:lineRule="auto"/>
              <w:rPr>
                <w:rFonts w:ascii="宋体"/>
                <w:color w:val="auto"/>
              </w:rPr>
            </w:pPr>
          </w:p>
        </w:tc>
        <w:tc>
          <w:tcPr>
            <w:tcW w:w="527" w:type="dxa"/>
            <w:noWrap w:val="0"/>
            <w:vAlign w:val="center"/>
          </w:tcPr>
          <w:p w14:paraId="5630CE9D">
            <w:pPr>
              <w:spacing w:before="134" w:line="360" w:lineRule="auto"/>
              <w:ind w:firstLine="225" w:firstLineChars="0"/>
              <w:rPr>
                <w:rFonts w:hint="eastAsia" w:ascii="宋体" w:hAnsi="宋体" w:eastAsia="宋体" w:cs="宋体"/>
                <w:color w:val="auto"/>
                <w:lang w:val="en-US" w:eastAsia="zh-CN"/>
              </w:rPr>
            </w:pPr>
            <w:r>
              <w:rPr>
                <w:rFonts w:hint="eastAsia" w:ascii="宋体" w:hAnsi="宋体" w:cs="宋体"/>
                <w:color w:val="auto"/>
                <w:lang w:val="en-US" w:eastAsia="zh-CN"/>
              </w:rPr>
              <w:t>5</w:t>
            </w:r>
          </w:p>
        </w:tc>
        <w:tc>
          <w:tcPr>
            <w:tcW w:w="6076" w:type="dxa"/>
            <w:noWrap w:val="0"/>
            <w:vAlign w:val="center"/>
          </w:tcPr>
          <w:p w14:paraId="072065E1">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报价超过项目预算或最高限价的</w:t>
            </w:r>
          </w:p>
        </w:tc>
        <w:tc>
          <w:tcPr>
            <w:tcW w:w="2325" w:type="dxa"/>
            <w:noWrap w:val="0"/>
            <w:vAlign w:val="center"/>
          </w:tcPr>
          <w:p w14:paraId="3B203EDD">
            <w:pPr>
              <w:spacing w:before="29" w:line="360" w:lineRule="auto"/>
              <w:jc w:val="left"/>
              <w:rPr>
                <w:rFonts w:ascii="宋体" w:hAnsi="宋体" w:eastAsia="宋体" w:cs="宋体"/>
                <w:color w:val="auto"/>
                <w:spacing w:val="-3"/>
              </w:rPr>
            </w:pPr>
            <w:r>
              <w:rPr>
                <w:rFonts w:ascii="宋体" w:hAnsi="宋体" w:eastAsia="宋体" w:cs="宋体"/>
                <w:color w:val="auto"/>
                <w:spacing w:val="-3"/>
              </w:rPr>
              <w:t>是否超出</w:t>
            </w:r>
          </w:p>
        </w:tc>
      </w:tr>
      <w:tr w14:paraId="724F7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828" w:type="dxa"/>
            <w:vMerge w:val="continue"/>
            <w:noWrap w:val="0"/>
            <w:vAlign w:val="top"/>
          </w:tcPr>
          <w:p w14:paraId="7FDA5071">
            <w:pPr>
              <w:spacing w:line="360" w:lineRule="auto"/>
              <w:rPr>
                <w:rFonts w:ascii="宋体"/>
                <w:color w:val="auto"/>
              </w:rPr>
            </w:pPr>
          </w:p>
        </w:tc>
        <w:tc>
          <w:tcPr>
            <w:tcW w:w="527" w:type="dxa"/>
            <w:noWrap w:val="0"/>
            <w:vAlign w:val="center"/>
          </w:tcPr>
          <w:p w14:paraId="3411623B">
            <w:pPr>
              <w:spacing w:before="134" w:line="360" w:lineRule="auto"/>
              <w:ind w:firstLine="225" w:firstLineChars="0"/>
              <w:rPr>
                <w:rFonts w:hint="default" w:ascii="宋体" w:hAnsi="宋体" w:eastAsia="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6</w:t>
            </w:r>
          </w:p>
        </w:tc>
        <w:tc>
          <w:tcPr>
            <w:tcW w:w="6076" w:type="dxa"/>
            <w:noWrap w:val="0"/>
            <w:vAlign w:val="center"/>
          </w:tcPr>
          <w:p w14:paraId="238EC2BB">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属于串通投标，或者依法被视为串通投标</w:t>
            </w:r>
          </w:p>
        </w:tc>
        <w:tc>
          <w:tcPr>
            <w:tcW w:w="2325" w:type="dxa"/>
            <w:noWrap w:val="0"/>
            <w:vAlign w:val="center"/>
          </w:tcPr>
          <w:p w14:paraId="4DEF4DEC">
            <w:pPr>
              <w:spacing w:before="29" w:line="360" w:lineRule="auto"/>
              <w:jc w:val="left"/>
              <w:rPr>
                <w:rFonts w:ascii="宋体" w:hAnsi="宋体" w:eastAsia="宋体" w:cs="宋体"/>
                <w:color w:val="auto"/>
                <w:spacing w:val="-3"/>
              </w:rPr>
            </w:pPr>
            <w:r>
              <w:rPr>
                <w:rFonts w:ascii="宋体" w:hAnsi="宋体" w:eastAsia="宋体" w:cs="宋体"/>
                <w:color w:val="auto"/>
                <w:spacing w:val="-3"/>
              </w:rPr>
              <w:t>是否存在</w:t>
            </w:r>
          </w:p>
        </w:tc>
      </w:tr>
      <w:tr w14:paraId="6642D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jc w:val="center"/>
        </w:trPr>
        <w:tc>
          <w:tcPr>
            <w:tcW w:w="828" w:type="dxa"/>
            <w:vMerge w:val="continue"/>
            <w:noWrap w:val="0"/>
            <w:vAlign w:val="top"/>
          </w:tcPr>
          <w:p w14:paraId="759B9CF8">
            <w:pPr>
              <w:spacing w:line="360" w:lineRule="auto"/>
              <w:rPr>
                <w:rFonts w:ascii="宋体"/>
                <w:color w:val="auto"/>
              </w:rPr>
            </w:pPr>
          </w:p>
        </w:tc>
        <w:tc>
          <w:tcPr>
            <w:tcW w:w="527" w:type="dxa"/>
            <w:noWrap w:val="0"/>
            <w:vAlign w:val="center"/>
          </w:tcPr>
          <w:p w14:paraId="0164E607">
            <w:pPr>
              <w:spacing w:before="134" w:line="360" w:lineRule="auto"/>
              <w:ind w:firstLine="225" w:firstLineChars="0"/>
              <w:rPr>
                <w:rFonts w:hint="default" w:ascii="宋体" w:hAnsi="宋体" w:eastAsia="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7</w:t>
            </w:r>
          </w:p>
        </w:tc>
        <w:tc>
          <w:tcPr>
            <w:tcW w:w="6076" w:type="dxa"/>
            <w:noWrap w:val="0"/>
            <w:vAlign w:val="center"/>
          </w:tcPr>
          <w:p w14:paraId="1E23AC05">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投标文件含有采购人不能接受的附加条件的</w:t>
            </w:r>
          </w:p>
        </w:tc>
        <w:tc>
          <w:tcPr>
            <w:tcW w:w="2325" w:type="dxa"/>
            <w:noWrap w:val="0"/>
            <w:vAlign w:val="center"/>
          </w:tcPr>
          <w:p w14:paraId="013B0F3A">
            <w:pPr>
              <w:spacing w:before="29" w:line="360" w:lineRule="auto"/>
              <w:jc w:val="left"/>
              <w:rPr>
                <w:rFonts w:ascii="宋体" w:hAnsi="宋体" w:eastAsia="宋体" w:cs="宋体"/>
                <w:color w:val="auto"/>
                <w:spacing w:val="-3"/>
              </w:rPr>
            </w:pPr>
            <w:r>
              <w:rPr>
                <w:rFonts w:ascii="宋体" w:hAnsi="宋体" w:eastAsia="宋体" w:cs="宋体"/>
                <w:color w:val="auto"/>
                <w:spacing w:val="-3"/>
              </w:rPr>
              <w:t>是否存在</w:t>
            </w:r>
          </w:p>
        </w:tc>
      </w:tr>
      <w:tr w14:paraId="774C4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jc w:val="center"/>
        </w:trPr>
        <w:tc>
          <w:tcPr>
            <w:tcW w:w="828" w:type="dxa"/>
            <w:vMerge w:val="continue"/>
            <w:noWrap w:val="0"/>
            <w:vAlign w:val="top"/>
          </w:tcPr>
          <w:p w14:paraId="410116A2">
            <w:pPr>
              <w:spacing w:line="360" w:lineRule="auto"/>
              <w:rPr>
                <w:rFonts w:ascii="宋体"/>
                <w:color w:val="auto"/>
              </w:rPr>
            </w:pPr>
          </w:p>
        </w:tc>
        <w:tc>
          <w:tcPr>
            <w:tcW w:w="527" w:type="dxa"/>
            <w:noWrap w:val="0"/>
            <w:vAlign w:val="center"/>
          </w:tcPr>
          <w:p w14:paraId="7E19781A">
            <w:pPr>
              <w:spacing w:before="134" w:line="360" w:lineRule="auto"/>
              <w:ind w:firstLine="225" w:firstLineChars="0"/>
              <w:rPr>
                <w:rFonts w:hint="default" w:ascii="宋体" w:hAnsi="宋体" w:eastAsia="宋体" w:cs="宋体"/>
                <w:color w:val="auto"/>
                <w:lang w:val="en-US" w:eastAsia="zh-CN"/>
              </w:rPr>
            </w:pPr>
            <w:r>
              <w:rPr>
                <w:rFonts w:hint="eastAsia" w:ascii="宋体" w:hAnsi="宋体" w:cs="宋体"/>
                <w:color w:val="auto"/>
                <w:lang w:val="en-US" w:eastAsia="zh-CN"/>
              </w:rPr>
              <w:t>8</w:t>
            </w:r>
          </w:p>
        </w:tc>
        <w:tc>
          <w:tcPr>
            <w:tcW w:w="6076" w:type="dxa"/>
            <w:noWrap w:val="0"/>
            <w:vAlign w:val="center"/>
          </w:tcPr>
          <w:p w14:paraId="5AB085A4">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属于</w:t>
            </w:r>
            <w:r>
              <w:rPr>
                <w:rFonts w:hint="eastAsia" w:ascii="宋体" w:hAnsi="宋体" w:eastAsia="宋体" w:cs="宋体"/>
                <w:color w:val="auto"/>
                <w:lang w:eastAsia="zh-CN"/>
              </w:rPr>
              <w:t>采购文件</w:t>
            </w:r>
            <w:r>
              <w:rPr>
                <w:rFonts w:hint="eastAsia" w:ascii="宋体" w:hAnsi="宋体" w:eastAsia="宋体" w:cs="宋体"/>
                <w:color w:val="auto"/>
              </w:rPr>
              <w:t>规定的其他无效响应情形</w:t>
            </w:r>
          </w:p>
        </w:tc>
        <w:tc>
          <w:tcPr>
            <w:tcW w:w="2325" w:type="dxa"/>
            <w:noWrap w:val="0"/>
            <w:vAlign w:val="center"/>
          </w:tcPr>
          <w:p w14:paraId="306EF8AB">
            <w:pPr>
              <w:spacing w:before="29" w:line="360" w:lineRule="auto"/>
              <w:jc w:val="left"/>
              <w:rPr>
                <w:rFonts w:ascii="宋体" w:hAnsi="宋体" w:eastAsia="宋体" w:cs="宋体"/>
                <w:color w:val="auto"/>
                <w:spacing w:val="-3"/>
              </w:rPr>
            </w:pPr>
            <w:r>
              <w:rPr>
                <w:rFonts w:ascii="宋体" w:hAnsi="宋体" w:eastAsia="宋体" w:cs="宋体"/>
                <w:color w:val="auto"/>
                <w:spacing w:val="-3"/>
              </w:rPr>
              <w:t>是否存在</w:t>
            </w:r>
          </w:p>
        </w:tc>
      </w:tr>
      <w:tr w14:paraId="4FE8E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jc w:val="center"/>
        </w:trPr>
        <w:tc>
          <w:tcPr>
            <w:tcW w:w="828" w:type="dxa"/>
            <w:vMerge w:val="continue"/>
            <w:tcBorders>
              <w:bottom w:val="single" w:color="auto" w:sz="4" w:space="0"/>
            </w:tcBorders>
            <w:noWrap w:val="0"/>
            <w:vAlign w:val="top"/>
          </w:tcPr>
          <w:p w14:paraId="6AD93D97">
            <w:pPr>
              <w:spacing w:line="360" w:lineRule="auto"/>
              <w:rPr>
                <w:rFonts w:ascii="宋体"/>
                <w:color w:val="auto"/>
              </w:rPr>
            </w:pPr>
          </w:p>
        </w:tc>
        <w:tc>
          <w:tcPr>
            <w:tcW w:w="527" w:type="dxa"/>
            <w:tcBorders>
              <w:bottom w:val="single" w:color="auto" w:sz="4" w:space="0"/>
            </w:tcBorders>
            <w:noWrap w:val="0"/>
            <w:vAlign w:val="center"/>
          </w:tcPr>
          <w:p w14:paraId="1978D309">
            <w:pPr>
              <w:spacing w:before="134" w:line="360" w:lineRule="auto"/>
              <w:ind w:firstLine="225" w:firstLineChars="0"/>
              <w:rPr>
                <w:rFonts w:hint="default" w:ascii="宋体" w:hAnsi="宋体" w:eastAsia="宋体" w:cs="宋体"/>
                <w:color w:val="auto"/>
                <w:lang w:val="en-US" w:eastAsia="zh-CN"/>
              </w:rPr>
            </w:pPr>
            <w:r>
              <w:rPr>
                <w:rFonts w:hint="eastAsia" w:ascii="宋体" w:hAnsi="宋体" w:cs="宋体"/>
                <w:color w:val="auto"/>
                <w:lang w:val="en-US" w:eastAsia="zh-CN"/>
              </w:rPr>
              <w:t>9</w:t>
            </w:r>
          </w:p>
        </w:tc>
        <w:tc>
          <w:tcPr>
            <w:tcW w:w="6076" w:type="dxa"/>
            <w:tcBorders>
              <w:bottom w:val="single" w:color="auto" w:sz="4" w:space="0"/>
            </w:tcBorders>
            <w:noWrap w:val="0"/>
            <w:vAlign w:val="center"/>
          </w:tcPr>
          <w:p w14:paraId="39E441F7">
            <w:pPr>
              <w:spacing w:before="134" w:line="360" w:lineRule="auto"/>
              <w:ind w:firstLine="225" w:firstLineChars="0"/>
              <w:rPr>
                <w:rFonts w:ascii="宋体" w:hAnsi="宋体" w:eastAsia="宋体" w:cs="宋体"/>
                <w:color w:val="auto"/>
                <w:spacing w:val="-3"/>
              </w:rPr>
            </w:pPr>
            <w:r>
              <w:rPr>
                <w:rFonts w:hint="eastAsia" w:ascii="宋体" w:hAnsi="宋体" w:eastAsia="宋体" w:cs="宋体"/>
                <w:color w:val="auto"/>
              </w:rPr>
              <w:t>不符合法规和</w:t>
            </w:r>
            <w:r>
              <w:rPr>
                <w:rFonts w:hint="eastAsia" w:ascii="宋体" w:hAnsi="宋体" w:eastAsia="宋体" w:cs="宋体"/>
                <w:color w:val="auto"/>
                <w:lang w:eastAsia="zh-CN"/>
              </w:rPr>
              <w:t>采购文件</w:t>
            </w:r>
            <w:r>
              <w:rPr>
                <w:rFonts w:hint="eastAsia" w:ascii="宋体" w:hAnsi="宋体" w:eastAsia="宋体" w:cs="宋体"/>
                <w:color w:val="auto"/>
              </w:rPr>
              <w:t>中规定的其他实质性要求的</w:t>
            </w:r>
          </w:p>
        </w:tc>
        <w:tc>
          <w:tcPr>
            <w:tcW w:w="2325" w:type="dxa"/>
            <w:noWrap w:val="0"/>
            <w:vAlign w:val="center"/>
          </w:tcPr>
          <w:p w14:paraId="4CC4151D">
            <w:pPr>
              <w:spacing w:before="29" w:line="360" w:lineRule="auto"/>
              <w:jc w:val="left"/>
              <w:rPr>
                <w:rFonts w:ascii="宋体" w:hAnsi="宋体" w:eastAsia="宋体" w:cs="宋体"/>
                <w:color w:val="auto"/>
                <w:spacing w:val="-3"/>
              </w:rPr>
            </w:pPr>
            <w:r>
              <w:rPr>
                <w:rFonts w:ascii="宋体" w:hAnsi="宋体" w:eastAsia="宋体" w:cs="宋体"/>
                <w:color w:val="auto"/>
                <w:spacing w:val="-3"/>
              </w:rPr>
              <w:t>是否存在</w:t>
            </w:r>
          </w:p>
        </w:tc>
      </w:tr>
      <w:tr w14:paraId="4EE0B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jc w:val="center"/>
        </w:trPr>
        <w:tc>
          <w:tcPr>
            <w:tcW w:w="828" w:type="dxa"/>
            <w:vMerge w:val="restart"/>
            <w:tcBorders>
              <w:top w:val="single" w:color="auto" w:sz="4" w:space="0"/>
              <w:left w:val="single" w:color="auto" w:sz="4" w:space="0"/>
              <w:bottom w:val="nil"/>
            </w:tcBorders>
            <w:noWrap w:val="0"/>
            <w:vAlign w:val="top"/>
          </w:tcPr>
          <w:p w14:paraId="3D9EE003">
            <w:pPr>
              <w:spacing w:line="360" w:lineRule="auto"/>
              <w:rPr>
                <w:rFonts w:ascii="宋体"/>
                <w:color w:val="auto"/>
              </w:rPr>
            </w:pPr>
          </w:p>
          <w:p w14:paraId="5380BCD9">
            <w:pPr>
              <w:spacing w:line="360" w:lineRule="auto"/>
              <w:rPr>
                <w:rFonts w:ascii="宋体"/>
                <w:color w:val="auto"/>
              </w:rPr>
            </w:pPr>
          </w:p>
          <w:p w14:paraId="78B5E031">
            <w:pPr>
              <w:spacing w:line="360" w:lineRule="auto"/>
              <w:rPr>
                <w:rFonts w:ascii="宋体"/>
                <w:color w:val="auto"/>
              </w:rPr>
            </w:pPr>
          </w:p>
          <w:p w14:paraId="516DE465">
            <w:pPr>
              <w:spacing w:line="360" w:lineRule="auto"/>
              <w:rPr>
                <w:rFonts w:ascii="宋体"/>
                <w:color w:val="auto"/>
              </w:rPr>
            </w:pPr>
          </w:p>
          <w:p w14:paraId="035FDB1C">
            <w:pPr>
              <w:spacing w:line="360" w:lineRule="auto"/>
              <w:rPr>
                <w:rFonts w:ascii="宋体"/>
                <w:color w:val="auto"/>
              </w:rPr>
            </w:pPr>
          </w:p>
          <w:p w14:paraId="5BDB8947">
            <w:pPr>
              <w:spacing w:before="68" w:line="360" w:lineRule="auto"/>
              <w:ind w:firstLine="215"/>
              <w:rPr>
                <w:rFonts w:ascii="宋体" w:hAnsi="宋体" w:eastAsia="宋体" w:cs="宋体"/>
                <w:color w:val="auto"/>
              </w:rPr>
            </w:pPr>
            <w:r>
              <w:rPr>
                <w:rFonts w:ascii="宋体" w:hAnsi="宋体" w:eastAsia="宋体" w:cs="宋体"/>
                <w:color w:val="auto"/>
                <w:spacing w:val="-10"/>
                <w:position w:val="14"/>
              </w:rPr>
              <w:t>资格</w:t>
            </w:r>
          </w:p>
          <w:p w14:paraId="3D57ED15">
            <w:pPr>
              <w:spacing w:line="360" w:lineRule="auto"/>
              <w:ind w:firstLine="205" w:firstLineChars="0"/>
              <w:rPr>
                <w:rFonts w:ascii="宋体" w:hAnsi="宋体" w:eastAsia="宋体" w:cs="宋体"/>
                <w:color w:val="auto"/>
              </w:rPr>
            </w:pPr>
            <w:r>
              <w:rPr>
                <w:rFonts w:ascii="宋体" w:hAnsi="宋体" w:eastAsia="宋体" w:cs="宋体"/>
                <w:color w:val="auto"/>
                <w:spacing w:val="-5"/>
              </w:rPr>
              <w:t>评审</w:t>
            </w:r>
          </w:p>
        </w:tc>
        <w:tc>
          <w:tcPr>
            <w:tcW w:w="527" w:type="dxa"/>
            <w:tcBorders>
              <w:top w:val="single" w:color="auto" w:sz="4" w:space="0"/>
              <w:right w:val="single" w:color="auto" w:sz="4" w:space="0"/>
            </w:tcBorders>
            <w:noWrap w:val="0"/>
            <w:vAlign w:val="top"/>
          </w:tcPr>
          <w:p w14:paraId="32F1AFC1">
            <w:pPr>
              <w:spacing w:before="64" w:line="360" w:lineRule="auto"/>
              <w:ind w:firstLine="238" w:firstLineChars="0"/>
              <w:rPr>
                <w:rFonts w:ascii="宋体" w:hAnsi="宋体" w:eastAsia="宋体" w:cs="宋体"/>
                <w:color w:val="auto"/>
              </w:rPr>
            </w:pPr>
            <w:r>
              <w:rPr>
                <w:rFonts w:ascii="宋体" w:hAnsi="宋体" w:eastAsia="宋体" w:cs="宋体"/>
                <w:color w:val="auto"/>
              </w:rPr>
              <w:t>1</w:t>
            </w:r>
          </w:p>
        </w:tc>
        <w:tc>
          <w:tcPr>
            <w:tcW w:w="6076" w:type="dxa"/>
            <w:tcBorders>
              <w:top w:val="single" w:color="auto" w:sz="4" w:space="0"/>
              <w:left w:val="single" w:color="auto" w:sz="4" w:space="0"/>
              <w:right w:val="single" w:color="auto" w:sz="4" w:space="0"/>
            </w:tcBorders>
            <w:noWrap w:val="0"/>
            <w:vAlign w:val="top"/>
          </w:tcPr>
          <w:p w14:paraId="2B552448">
            <w:pPr>
              <w:spacing w:before="29" w:line="360" w:lineRule="auto"/>
              <w:ind w:firstLine="204" w:firstLineChars="100"/>
              <w:jc w:val="left"/>
              <w:rPr>
                <w:rFonts w:ascii="宋体" w:hAnsi="宋体" w:eastAsia="宋体" w:cs="宋体"/>
                <w:color w:val="auto"/>
                <w:spacing w:val="-3"/>
              </w:rPr>
            </w:pPr>
            <w:r>
              <w:rPr>
                <w:rFonts w:ascii="宋体" w:hAnsi="宋体" w:eastAsia="宋体" w:cs="宋体"/>
                <w:color w:val="auto"/>
                <w:spacing w:val="-3"/>
              </w:rPr>
              <w:t>在中华人民共和国境内注册</w:t>
            </w:r>
          </w:p>
        </w:tc>
        <w:tc>
          <w:tcPr>
            <w:tcW w:w="2325" w:type="dxa"/>
            <w:tcBorders>
              <w:left w:val="single" w:color="auto" w:sz="4" w:space="0"/>
            </w:tcBorders>
            <w:noWrap w:val="0"/>
            <w:vAlign w:val="center"/>
          </w:tcPr>
          <w:p w14:paraId="00C09A4E">
            <w:pPr>
              <w:spacing w:before="29" w:line="360" w:lineRule="auto"/>
              <w:jc w:val="left"/>
              <w:rPr>
                <w:rFonts w:ascii="宋体" w:hAnsi="宋体" w:eastAsia="宋体" w:cs="宋体"/>
                <w:color w:val="auto"/>
                <w:spacing w:val="-3"/>
              </w:rPr>
            </w:pPr>
            <w:r>
              <w:rPr>
                <w:rFonts w:ascii="宋体" w:hAnsi="宋体" w:eastAsia="宋体" w:cs="宋体"/>
                <w:color w:val="auto"/>
                <w:spacing w:val="-3"/>
              </w:rPr>
              <w:t>注册地</w:t>
            </w:r>
            <w:r>
              <w:rPr>
                <w:rFonts w:hint="eastAsia" w:ascii="宋体" w:hAnsi="宋体" w:eastAsia="宋体" w:cs="宋体"/>
                <w:color w:val="auto"/>
                <w:spacing w:val="-3"/>
              </w:rPr>
              <w:t>是否符合</w:t>
            </w:r>
          </w:p>
        </w:tc>
      </w:tr>
      <w:tr w14:paraId="66ECC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28" w:type="dxa"/>
            <w:vMerge w:val="continue"/>
            <w:tcBorders>
              <w:top w:val="nil"/>
              <w:left w:val="single" w:color="auto" w:sz="4" w:space="0"/>
              <w:bottom w:val="nil"/>
            </w:tcBorders>
            <w:noWrap w:val="0"/>
            <w:vAlign w:val="top"/>
          </w:tcPr>
          <w:p w14:paraId="511760FB">
            <w:pPr>
              <w:spacing w:line="360" w:lineRule="auto"/>
              <w:rPr>
                <w:rFonts w:ascii="宋体"/>
                <w:color w:val="auto"/>
              </w:rPr>
            </w:pPr>
          </w:p>
        </w:tc>
        <w:tc>
          <w:tcPr>
            <w:tcW w:w="527" w:type="dxa"/>
            <w:tcBorders>
              <w:right w:val="single" w:color="auto" w:sz="4" w:space="0"/>
            </w:tcBorders>
            <w:noWrap w:val="0"/>
            <w:vAlign w:val="top"/>
          </w:tcPr>
          <w:p w14:paraId="0C2C89F8">
            <w:pPr>
              <w:spacing w:before="134" w:line="360" w:lineRule="auto"/>
              <w:ind w:firstLine="225" w:firstLineChars="0"/>
              <w:rPr>
                <w:rFonts w:ascii="宋体" w:hAnsi="宋体" w:eastAsia="宋体" w:cs="宋体"/>
                <w:color w:val="auto"/>
              </w:rPr>
            </w:pPr>
            <w:r>
              <w:rPr>
                <w:rFonts w:ascii="宋体" w:hAnsi="宋体" w:eastAsia="宋体" w:cs="宋体"/>
                <w:color w:val="auto"/>
              </w:rPr>
              <w:t>2</w:t>
            </w:r>
          </w:p>
        </w:tc>
        <w:tc>
          <w:tcPr>
            <w:tcW w:w="6076" w:type="dxa"/>
            <w:tcBorders>
              <w:left w:val="single" w:color="auto" w:sz="4" w:space="0"/>
              <w:right w:val="single" w:color="auto" w:sz="4" w:space="0"/>
            </w:tcBorders>
            <w:noWrap w:val="0"/>
            <w:vAlign w:val="top"/>
          </w:tcPr>
          <w:p w14:paraId="4F600E5B">
            <w:pPr>
              <w:spacing w:before="29" w:line="360" w:lineRule="auto"/>
              <w:ind w:firstLine="204" w:firstLineChars="100"/>
              <w:jc w:val="left"/>
              <w:rPr>
                <w:rFonts w:ascii="宋体" w:hAnsi="宋体" w:eastAsia="宋体" w:cs="宋体"/>
                <w:color w:val="auto"/>
                <w:spacing w:val="-3"/>
              </w:rPr>
            </w:pPr>
            <w:r>
              <w:rPr>
                <w:rFonts w:ascii="宋体" w:hAnsi="宋体" w:eastAsia="宋体" w:cs="宋体"/>
                <w:color w:val="auto"/>
                <w:spacing w:val="-3"/>
              </w:rPr>
              <w:t>营业执照</w:t>
            </w:r>
            <w:r>
              <w:rPr>
                <w:rFonts w:hint="eastAsia" w:ascii="宋体" w:hAnsi="宋体" w:eastAsia="宋体" w:cs="宋体"/>
                <w:color w:val="auto"/>
                <w:spacing w:val="-3"/>
                <w:lang w:eastAsia="zh-CN"/>
              </w:rPr>
              <w:t>、</w:t>
            </w:r>
            <w:r>
              <w:rPr>
                <w:rFonts w:hint="eastAsia" w:ascii="宋体" w:hAnsi="宋体" w:eastAsia="宋体" w:cs="宋体"/>
                <w:color w:val="auto"/>
                <w:spacing w:val="-3"/>
                <w:lang w:val="en-US" w:eastAsia="zh-CN"/>
              </w:rPr>
              <w:t>资质证书等证明</w:t>
            </w:r>
          </w:p>
        </w:tc>
        <w:tc>
          <w:tcPr>
            <w:tcW w:w="2325" w:type="dxa"/>
            <w:tcBorders>
              <w:left w:val="single" w:color="auto" w:sz="4" w:space="0"/>
            </w:tcBorders>
            <w:noWrap w:val="0"/>
            <w:vAlign w:val="center"/>
          </w:tcPr>
          <w:p w14:paraId="35A3E2F8">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r w14:paraId="61988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28" w:type="dxa"/>
            <w:vMerge w:val="continue"/>
            <w:tcBorders>
              <w:top w:val="nil"/>
              <w:left w:val="single" w:color="auto" w:sz="4" w:space="0"/>
              <w:bottom w:val="nil"/>
            </w:tcBorders>
            <w:noWrap w:val="0"/>
            <w:vAlign w:val="top"/>
          </w:tcPr>
          <w:p w14:paraId="183C1D3A">
            <w:pPr>
              <w:spacing w:line="360" w:lineRule="auto"/>
              <w:rPr>
                <w:rFonts w:ascii="宋体"/>
                <w:color w:val="auto"/>
              </w:rPr>
            </w:pPr>
          </w:p>
        </w:tc>
        <w:tc>
          <w:tcPr>
            <w:tcW w:w="527" w:type="dxa"/>
            <w:tcBorders>
              <w:right w:val="single" w:color="auto" w:sz="4" w:space="0"/>
            </w:tcBorders>
            <w:noWrap w:val="0"/>
            <w:vAlign w:val="center"/>
          </w:tcPr>
          <w:p w14:paraId="71EF9452">
            <w:pPr>
              <w:spacing w:before="134" w:line="360" w:lineRule="auto"/>
              <w:ind w:firstLine="225" w:firstLineChars="0"/>
              <w:rPr>
                <w:rFonts w:ascii="宋体" w:hAnsi="宋体" w:eastAsia="宋体" w:cs="宋体"/>
                <w:color w:val="auto"/>
              </w:rPr>
            </w:pPr>
            <w:r>
              <w:rPr>
                <w:rFonts w:hint="eastAsia" w:ascii="宋体" w:hAnsi="宋体" w:cs="宋体"/>
                <w:color w:val="auto"/>
                <w:lang w:val="en-US" w:eastAsia="zh-CN"/>
              </w:rPr>
              <w:t>3</w:t>
            </w:r>
          </w:p>
        </w:tc>
        <w:tc>
          <w:tcPr>
            <w:tcW w:w="6076" w:type="dxa"/>
            <w:tcBorders>
              <w:left w:val="single" w:color="auto" w:sz="4" w:space="0"/>
              <w:right w:val="single" w:color="auto" w:sz="4" w:space="0"/>
            </w:tcBorders>
            <w:noWrap w:val="0"/>
            <w:vAlign w:val="top"/>
          </w:tcPr>
          <w:p w14:paraId="59300D87">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法定代表人/负责人身份证明书或法定代表人/负责人授权委托书</w:t>
            </w:r>
          </w:p>
        </w:tc>
        <w:tc>
          <w:tcPr>
            <w:tcW w:w="2325" w:type="dxa"/>
            <w:tcBorders>
              <w:left w:val="single" w:color="auto" w:sz="4" w:space="0"/>
            </w:tcBorders>
            <w:noWrap w:val="0"/>
            <w:vAlign w:val="center"/>
          </w:tcPr>
          <w:p w14:paraId="4330C8A0">
            <w:pPr>
              <w:spacing w:before="29" w:line="360" w:lineRule="auto"/>
              <w:jc w:val="left"/>
              <w:rPr>
                <w:rFonts w:hint="eastAsia" w:ascii="宋体" w:hAnsi="宋体" w:eastAsia="宋体" w:cs="宋体"/>
                <w:color w:val="auto"/>
                <w:spacing w:val="-3"/>
                <w:lang w:val="en-US" w:eastAsia="zh-CN"/>
              </w:rPr>
            </w:pPr>
            <w:r>
              <w:rPr>
                <w:rFonts w:ascii="宋体" w:hAnsi="宋体" w:eastAsia="宋体" w:cs="宋体"/>
                <w:color w:val="auto"/>
                <w:spacing w:val="-3"/>
              </w:rPr>
              <w:t>格式及内容是否完整</w:t>
            </w:r>
          </w:p>
        </w:tc>
      </w:tr>
      <w:tr w14:paraId="06AB6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28" w:type="dxa"/>
            <w:vMerge w:val="continue"/>
            <w:tcBorders>
              <w:top w:val="nil"/>
              <w:left w:val="single" w:color="auto" w:sz="4" w:space="0"/>
              <w:bottom w:val="single" w:color="auto" w:sz="4" w:space="0"/>
            </w:tcBorders>
            <w:noWrap w:val="0"/>
            <w:vAlign w:val="top"/>
          </w:tcPr>
          <w:p w14:paraId="4899C5E0">
            <w:pPr>
              <w:spacing w:line="360" w:lineRule="auto"/>
              <w:rPr>
                <w:rFonts w:ascii="宋体"/>
                <w:color w:val="auto"/>
              </w:rPr>
            </w:pPr>
          </w:p>
        </w:tc>
        <w:tc>
          <w:tcPr>
            <w:tcW w:w="527" w:type="dxa"/>
            <w:tcBorders>
              <w:bottom w:val="single" w:color="auto" w:sz="4" w:space="0"/>
              <w:right w:val="single" w:color="auto" w:sz="4" w:space="0"/>
            </w:tcBorders>
            <w:noWrap w:val="0"/>
            <w:vAlign w:val="top"/>
          </w:tcPr>
          <w:p w14:paraId="3E4186EA">
            <w:pPr>
              <w:spacing w:before="134" w:line="360" w:lineRule="auto"/>
              <w:ind w:firstLine="225" w:firstLineChars="0"/>
              <w:rPr>
                <w:rFonts w:ascii="宋体" w:hAnsi="宋体" w:eastAsia="宋体" w:cs="宋体"/>
                <w:color w:val="auto"/>
              </w:rPr>
            </w:pPr>
            <w:r>
              <w:rPr>
                <w:rFonts w:hint="eastAsia" w:ascii="宋体" w:hAnsi="宋体" w:cs="宋体"/>
                <w:color w:val="auto"/>
                <w:lang w:val="en-US" w:eastAsia="zh-CN"/>
              </w:rPr>
              <w:t>4</w:t>
            </w:r>
          </w:p>
        </w:tc>
        <w:tc>
          <w:tcPr>
            <w:tcW w:w="6076" w:type="dxa"/>
            <w:tcBorders>
              <w:left w:val="single" w:color="auto" w:sz="4" w:space="0"/>
              <w:bottom w:val="single" w:color="auto" w:sz="4" w:space="0"/>
              <w:right w:val="single" w:color="auto" w:sz="4" w:space="0"/>
            </w:tcBorders>
            <w:noWrap w:val="0"/>
            <w:vAlign w:val="top"/>
          </w:tcPr>
          <w:p w14:paraId="28B8AF7C">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具有良好的商业信誉和健全的财务会计制度</w:t>
            </w:r>
            <w:r>
              <w:rPr>
                <w:rFonts w:hint="eastAsia" w:ascii="宋体" w:hAnsi="宋体" w:eastAsia="宋体" w:cs="宋体"/>
                <w:color w:val="auto"/>
                <w:spacing w:val="-3"/>
              </w:rPr>
              <w:t>的</w:t>
            </w:r>
            <w:r>
              <w:rPr>
                <w:rFonts w:hint="eastAsia" w:ascii="宋体" w:hAnsi="宋体" w:eastAsia="宋体" w:cs="宋体"/>
                <w:color w:val="auto"/>
                <w:spacing w:val="-3"/>
                <w:lang w:val="en-US" w:eastAsia="zh-CN"/>
              </w:rPr>
              <w:t>证明或</w:t>
            </w:r>
            <w:r>
              <w:rPr>
                <w:rFonts w:hint="eastAsia" w:ascii="宋体" w:hAnsi="宋体" w:eastAsia="宋体" w:cs="宋体"/>
                <w:color w:val="auto"/>
                <w:spacing w:val="-3"/>
              </w:rPr>
              <w:t>承诺</w:t>
            </w:r>
            <w:r>
              <w:rPr>
                <w:rFonts w:hint="eastAsia" w:ascii="宋体" w:hAnsi="宋体" w:eastAsia="宋体" w:cs="宋体"/>
                <w:color w:val="auto"/>
                <w:spacing w:val="-3"/>
                <w:lang w:val="en-US" w:eastAsia="zh-CN"/>
              </w:rPr>
              <w:t>函</w:t>
            </w:r>
          </w:p>
        </w:tc>
        <w:tc>
          <w:tcPr>
            <w:tcW w:w="2325" w:type="dxa"/>
            <w:tcBorders>
              <w:left w:val="single" w:color="auto" w:sz="4" w:space="0"/>
            </w:tcBorders>
            <w:noWrap w:val="0"/>
            <w:vAlign w:val="center"/>
          </w:tcPr>
          <w:p w14:paraId="532BD980">
            <w:pPr>
              <w:spacing w:before="29" w:line="360" w:lineRule="auto"/>
              <w:jc w:val="left"/>
              <w:rPr>
                <w:rFonts w:hint="eastAsia" w:ascii="宋体" w:hAnsi="宋体" w:eastAsia="宋体" w:cs="宋体"/>
                <w:color w:val="auto"/>
                <w:spacing w:val="-3"/>
                <w:lang w:val="en-US" w:eastAsia="zh-CN"/>
              </w:rPr>
            </w:pPr>
            <w:r>
              <w:rPr>
                <w:rFonts w:ascii="宋体" w:hAnsi="宋体" w:eastAsia="宋体" w:cs="宋体"/>
                <w:color w:val="auto"/>
                <w:spacing w:val="-3"/>
              </w:rPr>
              <w:t>是否按要求提供</w:t>
            </w:r>
          </w:p>
        </w:tc>
      </w:tr>
      <w:tr w14:paraId="0F070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28" w:type="dxa"/>
            <w:vMerge w:val="continue"/>
            <w:tcBorders>
              <w:top w:val="single" w:color="auto" w:sz="4" w:space="0"/>
              <w:left w:val="single" w:color="auto" w:sz="4" w:space="0"/>
              <w:bottom w:val="nil"/>
            </w:tcBorders>
            <w:noWrap w:val="0"/>
            <w:vAlign w:val="top"/>
          </w:tcPr>
          <w:p w14:paraId="056B6E63">
            <w:pPr>
              <w:spacing w:line="360" w:lineRule="auto"/>
              <w:rPr>
                <w:rFonts w:ascii="宋体"/>
                <w:color w:val="auto"/>
              </w:rPr>
            </w:pPr>
          </w:p>
        </w:tc>
        <w:tc>
          <w:tcPr>
            <w:tcW w:w="527" w:type="dxa"/>
            <w:tcBorders>
              <w:top w:val="single" w:color="auto" w:sz="4" w:space="0"/>
              <w:right w:val="single" w:color="auto" w:sz="4" w:space="0"/>
            </w:tcBorders>
            <w:noWrap w:val="0"/>
            <w:vAlign w:val="center"/>
          </w:tcPr>
          <w:p w14:paraId="6264E901">
            <w:pPr>
              <w:spacing w:before="134" w:line="360" w:lineRule="auto"/>
              <w:ind w:firstLine="225" w:firstLineChars="0"/>
              <w:rPr>
                <w:rFonts w:hint="eastAsia" w:ascii="宋体" w:hAnsi="宋体" w:eastAsia="宋体" w:cs="宋体"/>
                <w:color w:val="auto"/>
                <w:lang w:val="en-US" w:eastAsia="zh-CN"/>
              </w:rPr>
            </w:pPr>
            <w:r>
              <w:rPr>
                <w:rFonts w:hint="eastAsia" w:ascii="宋体" w:hAnsi="宋体" w:cs="宋体"/>
                <w:color w:val="auto"/>
                <w:lang w:val="en-US" w:eastAsia="zh-CN"/>
              </w:rPr>
              <w:t>5</w:t>
            </w:r>
          </w:p>
        </w:tc>
        <w:tc>
          <w:tcPr>
            <w:tcW w:w="6076" w:type="dxa"/>
            <w:tcBorders>
              <w:top w:val="single" w:color="auto" w:sz="4" w:space="0"/>
              <w:left w:val="single" w:color="auto" w:sz="4" w:space="0"/>
              <w:right w:val="single" w:color="auto" w:sz="4" w:space="0"/>
            </w:tcBorders>
            <w:noWrap w:val="0"/>
            <w:vAlign w:val="top"/>
          </w:tcPr>
          <w:p w14:paraId="5A5A35D7">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社会保障资金的缴纳记录和依法缴纳税收</w:t>
            </w:r>
            <w:r>
              <w:rPr>
                <w:rFonts w:hint="eastAsia" w:ascii="宋体" w:hAnsi="宋体" w:eastAsia="宋体" w:cs="宋体"/>
                <w:color w:val="auto"/>
                <w:spacing w:val="-3"/>
                <w:lang w:val="en-US" w:eastAsia="zh-CN"/>
              </w:rPr>
              <w:t>的证明或</w:t>
            </w:r>
            <w:r>
              <w:rPr>
                <w:rFonts w:hint="eastAsia" w:ascii="宋体" w:hAnsi="宋体" w:eastAsia="宋体" w:cs="宋体"/>
                <w:color w:val="auto"/>
                <w:spacing w:val="-3"/>
              </w:rPr>
              <w:t>承诺</w:t>
            </w:r>
            <w:r>
              <w:rPr>
                <w:rFonts w:hint="eastAsia" w:ascii="宋体" w:hAnsi="宋体" w:eastAsia="宋体" w:cs="宋体"/>
                <w:color w:val="auto"/>
                <w:spacing w:val="-3"/>
                <w:lang w:val="en-US" w:eastAsia="zh-CN"/>
              </w:rPr>
              <w:t>函</w:t>
            </w:r>
          </w:p>
        </w:tc>
        <w:tc>
          <w:tcPr>
            <w:tcW w:w="2325" w:type="dxa"/>
            <w:tcBorders>
              <w:left w:val="single" w:color="auto" w:sz="4" w:space="0"/>
            </w:tcBorders>
            <w:noWrap w:val="0"/>
            <w:vAlign w:val="center"/>
          </w:tcPr>
          <w:p w14:paraId="3D52AA70">
            <w:pPr>
              <w:spacing w:before="29" w:line="360" w:lineRule="auto"/>
              <w:jc w:val="left"/>
              <w:rPr>
                <w:rFonts w:hint="eastAsia" w:ascii="宋体" w:hAnsi="宋体" w:eastAsia="宋体" w:cs="宋体"/>
                <w:color w:val="auto"/>
                <w:spacing w:val="-3"/>
                <w:lang w:val="en-US" w:eastAsia="zh-CN"/>
              </w:rPr>
            </w:pPr>
            <w:r>
              <w:rPr>
                <w:rFonts w:ascii="宋体" w:hAnsi="宋体" w:eastAsia="宋体" w:cs="宋体"/>
                <w:color w:val="auto"/>
                <w:spacing w:val="-3"/>
              </w:rPr>
              <w:t>是否按要求提供</w:t>
            </w:r>
          </w:p>
        </w:tc>
      </w:tr>
      <w:tr w14:paraId="03FA2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jc w:val="center"/>
        </w:trPr>
        <w:tc>
          <w:tcPr>
            <w:tcW w:w="828" w:type="dxa"/>
            <w:vMerge w:val="continue"/>
            <w:tcBorders>
              <w:top w:val="nil"/>
              <w:left w:val="single" w:color="auto" w:sz="4" w:space="0"/>
              <w:bottom w:val="nil"/>
            </w:tcBorders>
            <w:noWrap w:val="0"/>
            <w:vAlign w:val="top"/>
          </w:tcPr>
          <w:p w14:paraId="593877FC">
            <w:pPr>
              <w:spacing w:line="360" w:lineRule="auto"/>
              <w:rPr>
                <w:rFonts w:ascii="宋体"/>
                <w:color w:val="auto"/>
              </w:rPr>
            </w:pPr>
          </w:p>
        </w:tc>
        <w:tc>
          <w:tcPr>
            <w:tcW w:w="527" w:type="dxa"/>
            <w:tcBorders>
              <w:right w:val="single" w:color="auto" w:sz="4" w:space="0"/>
            </w:tcBorders>
            <w:noWrap w:val="0"/>
            <w:vAlign w:val="center"/>
          </w:tcPr>
          <w:p w14:paraId="32C936FC">
            <w:pPr>
              <w:spacing w:before="134" w:line="360" w:lineRule="auto"/>
              <w:ind w:firstLine="225" w:firstLineChars="0"/>
              <w:rPr>
                <w:rFonts w:hint="eastAsia" w:ascii="宋体" w:hAnsi="宋体" w:eastAsia="宋体" w:cs="宋体"/>
                <w:color w:val="auto"/>
                <w:lang w:eastAsia="zh-CN"/>
              </w:rPr>
            </w:pPr>
            <w:r>
              <w:rPr>
                <w:rFonts w:hint="eastAsia" w:ascii="宋体" w:hAnsi="宋体" w:cs="宋体"/>
                <w:color w:val="auto"/>
                <w:kern w:val="2"/>
                <w:sz w:val="21"/>
                <w:szCs w:val="24"/>
                <w:lang w:val="en-US" w:eastAsia="zh-CN" w:bidi="ar-SA"/>
              </w:rPr>
              <w:t>6</w:t>
            </w:r>
          </w:p>
        </w:tc>
        <w:tc>
          <w:tcPr>
            <w:tcW w:w="6076" w:type="dxa"/>
            <w:tcBorders>
              <w:left w:val="single" w:color="auto" w:sz="4" w:space="0"/>
              <w:right w:val="single" w:color="auto" w:sz="4" w:space="0"/>
            </w:tcBorders>
            <w:noWrap w:val="0"/>
            <w:vAlign w:val="top"/>
          </w:tcPr>
          <w:p w14:paraId="680104F3">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无重大违法记录的书面声明</w:t>
            </w:r>
          </w:p>
        </w:tc>
        <w:tc>
          <w:tcPr>
            <w:tcW w:w="2325" w:type="dxa"/>
            <w:tcBorders>
              <w:left w:val="single" w:color="auto" w:sz="4" w:space="0"/>
            </w:tcBorders>
            <w:noWrap w:val="0"/>
            <w:vAlign w:val="center"/>
          </w:tcPr>
          <w:p w14:paraId="73A2FF7F">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r w14:paraId="79121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828" w:type="dxa"/>
            <w:vMerge w:val="continue"/>
            <w:tcBorders>
              <w:top w:val="nil"/>
              <w:left w:val="single" w:color="auto" w:sz="4" w:space="0"/>
              <w:bottom w:val="nil"/>
            </w:tcBorders>
            <w:noWrap w:val="0"/>
            <w:vAlign w:val="top"/>
          </w:tcPr>
          <w:p w14:paraId="14469BCC">
            <w:pPr>
              <w:spacing w:line="360" w:lineRule="auto"/>
              <w:rPr>
                <w:rFonts w:ascii="宋体"/>
                <w:color w:val="auto"/>
              </w:rPr>
            </w:pPr>
          </w:p>
        </w:tc>
        <w:tc>
          <w:tcPr>
            <w:tcW w:w="527" w:type="dxa"/>
            <w:tcBorders>
              <w:right w:val="single" w:color="auto" w:sz="4" w:space="0"/>
            </w:tcBorders>
            <w:noWrap w:val="0"/>
            <w:vAlign w:val="center"/>
          </w:tcPr>
          <w:p w14:paraId="56C76173">
            <w:pPr>
              <w:spacing w:before="134" w:line="360" w:lineRule="auto"/>
              <w:ind w:firstLine="225" w:firstLineChars="0"/>
              <w:rPr>
                <w:rFonts w:ascii="宋体" w:hAnsi="宋体" w:eastAsia="宋体" w:cs="宋体"/>
                <w:color w:val="auto"/>
                <w:lang w:val="en-US" w:eastAsia="zh-CN"/>
              </w:rPr>
            </w:pPr>
            <w:r>
              <w:rPr>
                <w:rFonts w:hint="eastAsia" w:ascii="宋体" w:hAnsi="宋体" w:cs="宋体"/>
                <w:color w:val="auto"/>
                <w:kern w:val="2"/>
                <w:sz w:val="21"/>
                <w:szCs w:val="24"/>
                <w:lang w:val="en-US" w:eastAsia="zh-CN" w:bidi="ar-SA"/>
              </w:rPr>
              <w:t>7</w:t>
            </w:r>
          </w:p>
        </w:tc>
        <w:tc>
          <w:tcPr>
            <w:tcW w:w="6076" w:type="dxa"/>
            <w:tcBorders>
              <w:left w:val="single" w:color="auto" w:sz="4" w:space="0"/>
              <w:right w:val="single" w:color="auto" w:sz="4" w:space="0"/>
            </w:tcBorders>
            <w:noWrap w:val="0"/>
            <w:vAlign w:val="top"/>
          </w:tcPr>
          <w:p w14:paraId="5F1FB0F8">
            <w:pPr>
              <w:spacing w:before="29" w:line="360" w:lineRule="auto"/>
              <w:ind w:firstLine="204" w:firstLineChars="100"/>
              <w:jc w:val="left"/>
              <w:rPr>
                <w:rFonts w:ascii="宋体" w:hAnsi="宋体" w:eastAsia="宋体" w:cs="宋体"/>
                <w:color w:val="auto"/>
              </w:rPr>
            </w:pPr>
            <w:r>
              <w:rPr>
                <w:rFonts w:hint="eastAsia" w:ascii="宋体" w:hAnsi="宋体" w:eastAsia="宋体" w:cs="宋体"/>
                <w:color w:val="auto"/>
                <w:spacing w:val="-3"/>
              </w:rPr>
              <w:t>中小企业声明函</w:t>
            </w:r>
          </w:p>
        </w:tc>
        <w:tc>
          <w:tcPr>
            <w:tcW w:w="2325" w:type="dxa"/>
            <w:tcBorders>
              <w:left w:val="single" w:color="auto" w:sz="4" w:space="0"/>
            </w:tcBorders>
            <w:noWrap w:val="0"/>
            <w:vAlign w:val="center"/>
          </w:tcPr>
          <w:p w14:paraId="0CDC6578">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r w14:paraId="7B011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jc w:val="center"/>
        </w:trPr>
        <w:tc>
          <w:tcPr>
            <w:tcW w:w="828" w:type="dxa"/>
            <w:vMerge w:val="continue"/>
            <w:tcBorders>
              <w:top w:val="nil"/>
              <w:left w:val="single" w:color="auto" w:sz="4" w:space="0"/>
              <w:bottom w:val="nil"/>
            </w:tcBorders>
            <w:noWrap w:val="0"/>
            <w:vAlign w:val="top"/>
          </w:tcPr>
          <w:p w14:paraId="4D8C89B4">
            <w:pPr>
              <w:spacing w:line="360" w:lineRule="auto"/>
              <w:rPr>
                <w:rFonts w:ascii="宋体"/>
                <w:color w:val="auto"/>
              </w:rPr>
            </w:pPr>
          </w:p>
        </w:tc>
        <w:tc>
          <w:tcPr>
            <w:tcW w:w="527" w:type="dxa"/>
            <w:tcBorders>
              <w:right w:val="single" w:color="auto" w:sz="4" w:space="0"/>
            </w:tcBorders>
            <w:noWrap w:val="0"/>
            <w:vAlign w:val="center"/>
          </w:tcPr>
          <w:p w14:paraId="5A1C6CE0">
            <w:pPr>
              <w:spacing w:before="134" w:line="360" w:lineRule="auto"/>
              <w:ind w:firstLine="225" w:firstLineChars="0"/>
              <w:rPr>
                <w:rFonts w:ascii="宋体" w:hAnsi="宋体" w:eastAsia="宋体" w:cs="宋体"/>
                <w:color w:val="auto"/>
                <w:lang w:val="en-US" w:eastAsia="zh-CN"/>
              </w:rPr>
            </w:pPr>
            <w:r>
              <w:rPr>
                <w:rFonts w:hint="eastAsia" w:ascii="宋体" w:hAnsi="宋体" w:cs="宋体"/>
                <w:color w:val="auto"/>
                <w:lang w:val="en-US" w:eastAsia="zh-CN"/>
              </w:rPr>
              <w:t>8</w:t>
            </w:r>
          </w:p>
        </w:tc>
        <w:tc>
          <w:tcPr>
            <w:tcW w:w="6076" w:type="dxa"/>
            <w:tcBorders>
              <w:left w:val="single" w:color="auto" w:sz="4" w:space="0"/>
              <w:right w:val="single" w:color="auto" w:sz="4" w:space="0"/>
            </w:tcBorders>
            <w:noWrap w:val="0"/>
            <w:vAlign w:val="top"/>
          </w:tcPr>
          <w:p w14:paraId="7BE1B922">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信用记录</w:t>
            </w:r>
          </w:p>
        </w:tc>
        <w:tc>
          <w:tcPr>
            <w:tcW w:w="2325" w:type="dxa"/>
            <w:tcBorders>
              <w:left w:val="single" w:color="auto" w:sz="4" w:space="0"/>
            </w:tcBorders>
            <w:noWrap w:val="0"/>
            <w:vAlign w:val="center"/>
          </w:tcPr>
          <w:p w14:paraId="7638B734">
            <w:pPr>
              <w:spacing w:before="29" w:line="360" w:lineRule="auto"/>
              <w:jc w:val="left"/>
              <w:rPr>
                <w:rFonts w:ascii="宋体" w:hAnsi="宋体" w:eastAsia="宋体" w:cs="宋体"/>
                <w:color w:val="auto"/>
                <w:spacing w:val="-3"/>
              </w:rPr>
            </w:pPr>
            <w:r>
              <w:rPr>
                <w:rFonts w:ascii="宋体" w:hAnsi="宋体" w:eastAsia="宋体" w:cs="宋体"/>
                <w:color w:val="auto"/>
                <w:spacing w:val="-3"/>
              </w:rPr>
              <w:t>是否存在不良记录</w:t>
            </w:r>
          </w:p>
        </w:tc>
      </w:tr>
      <w:tr w14:paraId="67A1B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828" w:type="dxa"/>
            <w:vMerge w:val="continue"/>
            <w:tcBorders>
              <w:top w:val="nil"/>
              <w:left w:val="single" w:color="auto" w:sz="4" w:space="0"/>
              <w:bottom w:val="nil"/>
            </w:tcBorders>
            <w:noWrap w:val="0"/>
            <w:vAlign w:val="top"/>
          </w:tcPr>
          <w:p w14:paraId="20462387">
            <w:pPr>
              <w:spacing w:line="360" w:lineRule="auto"/>
              <w:rPr>
                <w:rFonts w:ascii="宋体"/>
                <w:color w:val="auto"/>
              </w:rPr>
            </w:pPr>
          </w:p>
        </w:tc>
        <w:tc>
          <w:tcPr>
            <w:tcW w:w="527" w:type="dxa"/>
            <w:tcBorders>
              <w:right w:val="single" w:color="auto" w:sz="4" w:space="0"/>
            </w:tcBorders>
            <w:noWrap w:val="0"/>
            <w:vAlign w:val="center"/>
          </w:tcPr>
          <w:p w14:paraId="58729C7C">
            <w:pPr>
              <w:spacing w:before="134" w:line="360" w:lineRule="auto"/>
              <w:ind w:firstLine="225" w:firstLineChars="0"/>
              <w:rPr>
                <w:rFonts w:ascii="宋体" w:hAnsi="宋体" w:eastAsia="宋体" w:cs="宋体"/>
                <w:color w:val="auto"/>
                <w:lang w:val="en-US" w:eastAsia="zh-CN"/>
              </w:rPr>
            </w:pPr>
            <w:r>
              <w:rPr>
                <w:rFonts w:hint="eastAsia" w:ascii="宋体" w:hAnsi="宋体" w:cs="宋体"/>
                <w:color w:val="auto"/>
                <w:lang w:val="en-US" w:eastAsia="zh-CN"/>
              </w:rPr>
              <w:t>9</w:t>
            </w:r>
          </w:p>
        </w:tc>
        <w:tc>
          <w:tcPr>
            <w:tcW w:w="6076" w:type="dxa"/>
            <w:tcBorders>
              <w:left w:val="single" w:color="auto" w:sz="4" w:space="0"/>
              <w:right w:val="single" w:color="auto" w:sz="4" w:space="0"/>
            </w:tcBorders>
            <w:noWrap w:val="0"/>
            <w:vAlign w:val="top"/>
          </w:tcPr>
          <w:p w14:paraId="557CEA00">
            <w:pPr>
              <w:spacing w:before="29" w:line="360" w:lineRule="auto"/>
              <w:ind w:firstLine="204" w:firstLineChars="100"/>
              <w:jc w:val="left"/>
              <w:rPr>
                <w:rFonts w:ascii="宋体" w:hAnsi="宋体" w:eastAsia="宋体" w:cs="宋体"/>
                <w:color w:val="auto"/>
              </w:rPr>
            </w:pPr>
            <w:r>
              <w:rPr>
                <w:rFonts w:ascii="宋体" w:hAnsi="宋体" w:eastAsia="宋体" w:cs="宋体"/>
                <w:color w:val="auto"/>
                <w:spacing w:val="-3"/>
              </w:rPr>
              <w:t>供应商须知资料表中要求的供应商其他资格要求</w:t>
            </w:r>
          </w:p>
        </w:tc>
        <w:tc>
          <w:tcPr>
            <w:tcW w:w="2325" w:type="dxa"/>
            <w:tcBorders>
              <w:left w:val="single" w:color="auto" w:sz="4" w:space="0"/>
            </w:tcBorders>
            <w:noWrap w:val="0"/>
            <w:vAlign w:val="center"/>
          </w:tcPr>
          <w:p w14:paraId="2414EE22">
            <w:pPr>
              <w:spacing w:before="29" w:line="360" w:lineRule="auto"/>
              <w:jc w:val="left"/>
              <w:rPr>
                <w:rFonts w:ascii="宋体" w:hAnsi="宋体" w:eastAsia="宋体" w:cs="宋体"/>
                <w:color w:val="auto"/>
                <w:spacing w:val="-3"/>
              </w:rPr>
            </w:pPr>
            <w:r>
              <w:rPr>
                <w:rFonts w:ascii="宋体" w:hAnsi="宋体" w:eastAsia="宋体" w:cs="宋体"/>
                <w:color w:val="auto"/>
                <w:spacing w:val="-3"/>
              </w:rPr>
              <w:t>是否按要求提供</w:t>
            </w:r>
          </w:p>
        </w:tc>
      </w:tr>
    </w:tbl>
    <w:p w14:paraId="53A4B3DE">
      <w:pPr>
        <w:widowControl/>
        <w:spacing w:beforeAutospacing="1" w:afterAutospacing="1" w:line="360" w:lineRule="auto"/>
        <w:jc w:val="left"/>
        <w:rPr>
          <w:rFonts w:hint="default" w:ascii="宋体" w:hAnsi="宋体" w:eastAsia="宋体" w:cs="宋体"/>
          <w:b/>
          <w:bCs/>
          <w:color w:val="auto"/>
          <w:kern w:val="0"/>
          <w:sz w:val="24"/>
          <w:szCs w:val="22"/>
          <w:highlight w:val="none"/>
          <w:lang w:val="en-US" w:eastAsia="zh-CN"/>
        </w:rPr>
        <w:sectPr>
          <w:pgSz w:w="11920" w:h="16840"/>
          <w:pgMar w:top="1560" w:right="1580" w:bottom="280" w:left="1580" w:header="720" w:footer="720" w:gutter="0"/>
          <w:cols w:space="720" w:num="1"/>
        </w:sectPr>
      </w:pPr>
      <w:r>
        <w:rPr>
          <w:rFonts w:hint="eastAsia" w:ascii="宋体" w:hAnsi="宋体" w:cs="宋体"/>
          <w:b/>
          <w:bCs/>
          <w:color w:val="auto"/>
          <w:kern w:val="0"/>
          <w:sz w:val="24"/>
          <w:szCs w:val="22"/>
          <w:highlight w:val="none"/>
          <w:lang w:val="en-US" w:eastAsia="zh-CN"/>
        </w:rPr>
        <w:t>注：只有通过符合性审查和资格审查的才能参与评审打分。</w:t>
      </w:r>
    </w:p>
    <w:p w14:paraId="074C2EF2">
      <w:pPr>
        <w:pStyle w:val="3"/>
        <w:numPr>
          <w:ilvl w:val="0"/>
          <w:numId w:val="4"/>
        </w:numPr>
        <w:spacing w:line="360" w:lineRule="auto"/>
        <w:ind w:left="-420" w:leftChars="-200" w:firstLine="420" w:firstLineChars="175"/>
        <w:rPr>
          <w:rFonts w:hint="eastAsia" w:ascii="宋体" w:hAnsi="宋体" w:eastAsia="宋体" w:cs="宋体"/>
          <w:color w:val="auto"/>
          <w:sz w:val="24"/>
          <w:szCs w:val="22"/>
          <w:highlight w:val="none"/>
        </w:rPr>
      </w:pPr>
      <w:bookmarkStart w:id="262" w:name="_Toc28858"/>
      <w:r>
        <w:rPr>
          <w:rFonts w:hint="eastAsia" w:ascii="宋体" w:hAnsi="宋体" w:eastAsia="宋体" w:cs="宋体"/>
          <w:color w:val="auto"/>
          <w:sz w:val="24"/>
          <w:szCs w:val="22"/>
          <w:highlight w:val="none"/>
        </w:rPr>
        <w:t>评分细则</w:t>
      </w:r>
      <w:bookmarkEnd w:id="262"/>
    </w:p>
    <w:p w14:paraId="3B46CF43">
      <w:pPr>
        <w:pStyle w:val="4"/>
        <w:ind w:firstLine="0"/>
        <w:rPr>
          <w:rFonts w:hint="eastAsia" w:hAnsi="宋体" w:cs="宋体"/>
          <w:b/>
          <w:bCs/>
          <w:color w:val="auto"/>
          <w:szCs w:val="22"/>
          <w:highlight w:val="none"/>
        </w:rPr>
      </w:pPr>
      <w:r>
        <w:rPr>
          <w:rFonts w:hint="eastAsia" w:hAnsi="宋体" w:cs="宋体"/>
          <w:b/>
          <w:bCs/>
          <w:color w:val="auto"/>
          <w:szCs w:val="22"/>
          <w:highlight w:val="none"/>
        </w:rPr>
        <w:t>评分细则：</w:t>
      </w:r>
    </w:p>
    <w:tbl>
      <w:tblPr>
        <w:tblStyle w:val="27"/>
        <w:tblW w:w="900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6"/>
        <w:gridCol w:w="1072"/>
        <w:gridCol w:w="650"/>
        <w:gridCol w:w="6083"/>
      </w:tblGrid>
      <w:tr w14:paraId="02817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1196" w:type="dxa"/>
            <w:noWrap w:val="0"/>
            <w:vAlign w:val="center"/>
          </w:tcPr>
          <w:p w14:paraId="1346392C">
            <w:pPr>
              <w:autoSpaceDE w:val="0"/>
              <w:autoSpaceDN w:val="0"/>
              <w:snapToGrid w:val="0"/>
              <w:jc w:val="center"/>
              <w:rPr>
                <w:rFonts w:ascii="宋体" w:hAnsi="宋体" w:eastAsia="宋体" w:cs="宋体"/>
                <w:b/>
                <w:bCs/>
                <w:sz w:val="24"/>
                <w:lang w:val="zh-CN"/>
              </w:rPr>
            </w:pPr>
            <w:r>
              <w:rPr>
                <w:rFonts w:ascii="宋体" w:hAnsi="宋体" w:eastAsia="宋体" w:cs="宋体"/>
                <w:b/>
                <w:bCs/>
                <w:sz w:val="24"/>
                <w:lang w:val="zh-CN"/>
              </w:rPr>
              <w:t>评审项目</w:t>
            </w:r>
          </w:p>
        </w:tc>
        <w:tc>
          <w:tcPr>
            <w:tcW w:w="1072" w:type="dxa"/>
            <w:noWrap w:val="0"/>
            <w:vAlign w:val="center"/>
          </w:tcPr>
          <w:p w14:paraId="16E71063">
            <w:pPr>
              <w:autoSpaceDE w:val="0"/>
              <w:autoSpaceDN w:val="0"/>
              <w:snapToGrid w:val="0"/>
              <w:jc w:val="center"/>
              <w:rPr>
                <w:rFonts w:ascii="宋体" w:hAnsi="宋体" w:eastAsia="宋体" w:cs="宋体"/>
                <w:b/>
                <w:bCs/>
                <w:sz w:val="24"/>
                <w:lang w:val="zh-CN"/>
              </w:rPr>
            </w:pPr>
            <w:r>
              <w:rPr>
                <w:rFonts w:ascii="宋体" w:hAnsi="宋体" w:eastAsia="宋体" w:cs="宋体"/>
                <w:b/>
                <w:bCs/>
                <w:sz w:val="24"/>
                <w:lang w:val="zh-CN"/>
              </w:rPr>
              <w:t>评审内容</w:t>
            </w:r>
          </w:p>
        </w:tc>
        <w:tc>
          <w:tcPr>
            <w:tcW w:w="650" w:type="dxa"/>
            <w:noWrap w:val="0"/>
            <w:vAlign w:val="center"/>
          </w:tcPr>
          <w:p w14:paraId="772084E1">
            <w:pPr>
              <w:autoSpaceDE w:val="0"/>
              <w:autoSpaceDN w:val="0"/>
              <w:snapToGrid w:val="0"/>
              <w:jc w:val="center"/>
              <w:rPr>
                <w:rFonts w:ascii="宋体" w:hAnsi="宋体" w:eastAsia="宋体" w:cs="宋体"/>
                <w:b/>
                <w:bCs/>
                <w:sz w:val="24"/>
                <w:lang w:val="zh-CN"/>
              </w:rPr>
            </w:pPr>
            <w:r>
              <w:rPr>
                <w:rFonts w:ascii="宋体" w:hAnsi="宋体" w:eastAsia="宋体" w:cs="宋体"/>
                <w:b/>
                <w:bCs/>
                <w:sz w:val="24"/>
                <w:lang w:val="zh-CN"/>
              </w:rPr>
              <w:t>分值</w:t>
            </w:r>
          </w:p>
        </w:tc>
        <w:tc>
          <w:tcPr>
            <w:tcW w:w="6083" w:type="dxa"/>
            <w:noWrap w:val="0"/>
            <w:vAlign w:val="center"/>
          </w:tcPr>
          <w:p w14:paraId="13B11886">
            <w:pPr>
              <w:autoSpaceDE w:val="0"/>
              <w:autoSpaceDN w:val="0"/>
              <w:snapToGrid w:val="0"/>
              <w:jc w:val="center"/>
              <w:rPr>
                <w:rFonts w:ascii="宋体" w:hAnsi="宋体" w:eastAsia="宋体" w:cs="宋体"/>
                <w:b/>
                <w:bCs/>
                <w:sz w:val="24"/>
                <w:lang w:val="zh-CN"/>
              </w:rPr>
            </w:pPr>
            <w:r>
              <w:rPr>
                <w:rFonts w:ascii="宋体" w:hAnsi="宋体" w:eastAsia="宋体" w:cs="宋体"/>
                <w:b/>
                <w:bCs/>
                <w:sz w:val="24"/>
                <w:lang w:val="zh-CN"/>
              </w:rPr>
              <w:t>评分细则</w:t>
            </w:r>
          </w:p>
        </w:tc>
      </w:tr>
      <w:tr w14:paraId="3F856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9" w:hRule="atLeast"/>
          <w:jc w:val="center"/>
        </w:trPr>
        <w:tc>
          <w:tcPr>
            <w:tcW w:w="1196" w:type="dxa"/>
            <w:noWrap w:val="0"/>
            <w:vAlign w:val="top"/>
          </w:tcPr>
          <w:p w14:paraId="46A2F435">
            <w:pPr>
              <w:spacing w:before="2" w:line="293" w:lineRule="auto"/>
              <w:ind w:left="120" w:right="106" w:hanging="9"/>
              <w:rPr>
                <w:rFonts w:eastAsia="宋体" w:cs="Times New Roman"/>
              </w:rPr>
            </w:pPr>
            <w:r>
              <w:rPr>
                <w:rFonts w:eastAsia="宋体" w:cs="Times New Roman"/>
              </w:rPr>
              <w:t>商务标评 审(30 分)</w:t>
            </w:r>
          </w:p>
        </w:tc>
        <w:tc>
          <w:tcPr>
            <w:tcW w:w="1072" w:type="dxa"/>
            <w:noWrap w:val="0"/>
            <w:vAlign w:val="top"/>
          </w:tcPr>
          <w:p w14:paraId="3CF0738D">
            <w:pPr>
              <w:spacing w:before="2" w:line="293" w:lineRule="auto"/>
              <w:ind w:left="120" w:right="106" w:hanging="9"/>
              <w:rPr>
                <w:rFonts w:eastAsia="宋体" w:cs="Times New Roman"/>
              </w:rPr>
            </w:pPr>
          </w:p>
          <w:p w14:paraId="656AEB7A">
            <w:pPr>
              <w:spacing w:before="2" w:line="293" w:lineRule="auto"/>
              <w:ind w:left="120" w:right="106" w:hanging="9"/>
              <w:rPr>
                <w:rFonts w:eastAsia="宋体" w:cs="Times New Roman"/>
              </w:rPr>
            </w:pPr>
            <w:r>
              <w:rPr>
                <w:rFonts w:eastAsia="宋体" w:cs="Times New Roman"/>
              </w:rPr>
              <w:t>报价部分</w:t>
            </w:r>
          </w:p>
        </w:tc>
        <w:tc>
          <w:tcPr>
            <w:tcW w:w="650" w:type="dxa"/>
            <w:noWrap w:val="0"/>
            <w:vAlign w:val="top"/>
          </w:tcPr>
          <w:p w14:paraId="5207A909">
            <w:pPr>
              <w:spacing w:before="2" w:line="293" w:lineRule="auto"/>
              <w:ind w:left="120" w:right="106" w:hanging="9"/>
              <w:rPr>
                <w:rFonts w:eastAsia="宋体" w:cs="Times New Roman"/>
              </w:rPr>
            </w:pPr>
          </w:p>
          <w:p w14:paraId="0291A1BC">
            <w:pPr>
              <w:spacing w:before="2" w:line="293" w:lineRule="auto"/>
              <w:ind w:left="120" w:right="106" w:hanging="9"/>
              <w:rPr>
                <w:rFonts w:eastAsia="宋体" w:cs="Times New Roman"/>
              </w:rPr>
            </w:pPr>
            <w:r>
              <w:rPr>
                <w:rFonts w:eastAsia="宋体" w:cs="Times New Roman"/>
              </w:rPr>
              <w:t>30 分</w:t>
            </w:r>
          </w:p>
        </w:tc>
        <w:tc>
          <w:tcPr>
            <w:tcW w:w="6083" w:type="dxa"/>
            <w:noWrap w:val="0"/>
            <w:vAlign w:val="top"/>
          </w:tcPr>
          <w:p w14:paraId="74514836">
            <w:pPr>
              <w:spacing w:before="2" w:line="293" w:lineRule="auto"/>
              <w:ind w:left="120" w:right="106" w:hanging="9"/>
              <w:rPr>
                <w:rFonts w:eastAsia="宋体" w:cs="Times New Roman"/>
              </w:rPr>
            </w:pPr>
            <w:r>
              <w:rPr>
                <w:rFonts w:eastAsia="宋体" w:cs="Times New Roman"/>
              </w:rPr>
              <w:t>报价采用低价优先法计算，即满足采购文件要求且有效报价文件的最低报价为磋商基准价，其价格分为满分 30分。其他供应 商的最终报价得分统一按照下列公式计算：报价得分= (磋商基准价／磋商报价)×30 分。  (得分四舍五入后保留两位小数)</w:t>
            </w:r>
          </w:p>
        </w:tc>
      </w:tr>
      <w:tr w14:paraId="39BD2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4" w:hRule="atLeast"/>
          <w:jc w:val="center"/>
        </w:trPr>
        <w:tc>
          <w:tcPr>
            <w:tcW w:w="1196" w:type="dxa"/>
            <w:vMerge w:val="restart"/>
            <w:noWrap w:val="0"/>
            <w:vAlign w:val="top"/>
          </w:tcPr>
          <w:p w14:paraId="6DF226EA">
            <w:pPr>
              <w:spacing w:before="2" w:line="293" w:lineRule="auto"/>
              <w:ind w:left="120" w:right="106" w:hanging="9"/>
              <w:rPr>
                <w:rFonts w:eastAsia="宋体" w:cs="Times New Roman"/>
              </w:rPr>
            </w:pPr>
          </w:p>
          <w:p w14:paraId="318A160C">
            <w:pPr>
              <w:spacing w:before="2" w:line="293" w:lineRule="auto"/>
              <w:ind w:left="120" w:right="106" w:hanging="9"/>
              <w:rPr>
                <w:rFonts w:eastAsia="宋体" w:cs="Times New Roman"/>
              </w:rPr>
            </w:pPr>
          </w:p>
          <w:p w14:paraId="74F1BC10">
            <w:pPr>
              <w:spacing w:before="2" w:line="293" w:lineRule="auto"/>
              <w:ind w:left="120" w:right="106" w:hanging="9"/>
              <w:rPr>
                <w:rFonts w:eastAsia="宋体" w:cs="Times New Roman"/>
              </w:rPr>
            </w:pPr>
          </w:p>
          <w:p w14:paraId="27BE8D72">
            <w:pPr>
              <w:spacing w:before="2" w:line="293" w:lineRule="auto"/>
              <w:ind w:left="120" w:right="106" w:hanging="9"/>
              <w:rPr>
                <w:rFonts w:eastAsia="宋体" w:cs="Times New Roman"/>
              </w:rPr>
            </w:pPr>
          </w:p>
          <w:p w14:paraId="77B991EB">
            <w:pPr>
              <w:spacing w:before="2" w:line="293" w:lineRule="auto"/>
              <w:ind w:left="120" w:right="106" w:hanging="9"/>
              <w:rPr>
                <w:rFonts w:eastAsia="宋体" w:cs="Times New Roman"/>
              </w:rPr>
            </w:pPr>
          </w:p>
          <w:p w14:paraId="1E3C55D0">
            <w:pPr>
              <w:spacing w:before="2" w:line="293" w:lineRule="auto"/>
              <w:ind w:left="120" w:right="106" w:hanging="9"/>
              <w:rPr>
                <w:rFonts w:eastAsia="宋体" w:cs="Times New Roman"/>
              </w:rPr>
            </w:pPr>
          </w:p>
          <w:p w14:paraId="37225CB3">
            <w:pPr>
              <w:spacing w:before="2" w:line="293" w:lineRule="auto"/>
              <w:ind w:left="120" w:right="106" w:hanging="9"/>
              <w:rPr>
                <w:rFonts w:eastAsia="宋体" w:cs="Times New Roman"/>
              </w:rPr>
            </w:pPr>
          </w:p>
          <w:p w14:paraId="343BF0C8">
            <w:pPr>
              <w:spacing w:before="2" w:line="293" w:lineRule="auto"/>
              <w:ind w:left="120" w:right="106" w:hanging="9"/>
              <w:rPr>
                <w:rFonts w:eastAsia="宋体" w:cs="Times New Roman"/>
              </w:rPr>
            </w:pPr>
          </w:p>
          <w:p w14:paraId="6BA45A86">
            <w:pPr>
              <w:spacing w:before="2" w:line="293" w:lineRule="auto"/>
              <w:ind w:left="120" w:right="106" w:hanging="9"/>
              <w:rPr>
                <w:rFonts w:eastAsia="宋体" w:cs="Times New Roman"/>
              </w:rPr>
            </w:pPr>
          </w:p>
          <w:p w14:paraId="13BB7E5B">
            <w:pPr>
              <w:spacing w:before="2" w:line="293" w:lineRule="auto"/>
              <w:ind w:left="120" w:right="106" w:hanging="9"/>
              <w:rPr>
                <w:rFonts w:eastAsia="宋体" w:cs="Times New Roman"/>
              </w:rPr>
            </w:pPr>
          </w:p>
          <w:p w14:paraId="0B9857C5">
            <w:pPr>
              <w:spacing w:before="2" w:line="293" w:lineRule="auto"/>
              <w:ind w:left="120" w:right="106" w:hanging="9"/>
              <w:rPr>
                <w:rFonts w:eastAsia="宋体" w:cs="Times New Roman"/>
              </w:rPr>
            </w:pPr>
          </w:p>
          <w:p w14:paraId="60038748">
            <w:pPr>
              <w:spacing w:before="2" w:line="293" w:lineRule="auto"/>
              <w:ind w:left="120" w:right="106" w:hanging="9"/>
              <w:rPr>
                <w:rFonts w:eastAsia="宋体" w:cs="Times New Roman"/>
              </w:rPr>
            </w:pPr>
          </w:p>
          <w:p w14:paraId="1E63F384">
            <w:pPr>
              <w:spacing w:before="2" w:line="293" w:lineRule="auto"/>
              <w:ind w:left="120" w:right="106" w:hanging="9"/>
              <w:rPr>
                <w:rFonts w:eastAsia="宋体" w:cs="Times New Roman"/>
              </w:rPr>
            </w:pPr>
          </w:p>
          <w:p w14:paraId="0CC09A75">
            <w:pPr>
              <w:spacing w:before="2" w:line="293" w:lineRule="auto"/>
              <w:ind w:left="120" w:right="106" w:hanging="9"/>
              <w:rPr>
                <w:rFonts w:eastAsia="宋体" w:cs="Times New Roman"/>
              </w:rPr>
            </w:pPr>
            <w:r>
              <w:rPr>
                <w:rFonts w:eastAsia="宋体" w:cs="Times New Roman"/>
              </w:rPr>
              <w:t>技 术 标 评 审(70 分)</w:t>
            </w:r>
          </w:p>
        </w:tc>
        <w:tc>
          <w:tcPr>
            <w:tcW w:w="1072" w:type="dxa"/>
            <w:noWrap w:val="0"/>
            <w:vAlign w:val="top"/>
          </w:tcPr>
          <w:p w14:paraId="2CC8E079">
            <w:pPr>
              <w:spacing w:before="2" w:line="293" w:lineRule="auto"/>
              <w:ind w:left="120" w:right="106" w:hanging="9"/>
              <w:rPr>
                <w:rFonts w:eastAsia="宋体" w:cs="Times New Roman"/>
              </w:rPr>
            </w:pPr>
          </w:p>
          <w:p w14:paraId="1409C93E">
            <w:pPr>
              <w:spacing w:before="2" w:line="293" w:lineRule="auto"/>
              <w:ind w:right="106"/>
              <w:rPr>
                <w:rFonts w:eastAsia="宋体" w:cs="Times New Roman"/>
              </w:rPr>
            </w:pPr>
          </w:p>
          <w:p w14:paraId="6E4D6FDE">
            <w:pPr>
              <w:spacing w:before="2" w:line="293" w:lineRule="auto"/>
              <w:ind w:left="120" w:right="106" w:hanging="9"/>
              <w:rPr>
                <w:rFonts w:eastAsia="宋体" w:cs="Times New Roman"/>
              </w:rPr>
            </w:pPr>
            <w:r>
              <w:rPr>
                <w:rFonts w:eastAsia="宋体" w:cs="Times New Roman"/>
              </w:rPr>
              <w:t>总体概述：施工程序总体设想及施工阶段划分</w:t>
            </w:r>
          </w:p>
        </w:tc>
        <w:tc>
          <w:tcPr>
            <w:tcW w:w="650" w:type="dxa"/>
            <w:noWrap w:val="0"/>
            <w:vAlign w:val="top"/>
          </w:tcPr>
          <w:p w14:paraId="43ACFA15">
            <w:pPr>
              <w:spacing w:before="2" w:line="293" w:lineRule="auto"/>
              <w:ind w:left="120" w:right="106" w:hanging="9"/>
              <w:rPr>
                <w:rFonts w:eastAsia="宋体" w:cs="Times New Roman"/>
              </w:rPr>
            </w:pPr>
          </w:p>
          <w:p w14:paraId="3DB58441">
            <w:pPr>
              <w:spacing w:before="2" w:line="293" w:lineRule="auto"/>
              <w:ind w:left="120" w:right="106" w:hanging="9"/>
              <w:rPr>
                <w:rFonts w:eastAsia="宋体" w:cs="Times New Roman"/>
              </w:rPr>
            </w:pPr>
          </w:p>
          <w:p w14:paraId="62539FEF">
            <w:pPr>
              <w:spacing w:before="2" w:line="293" w:lineRule="auto"/>
              <w:ind w:right="106"/>
              <w:rPr>
                <w:rFonts w:eastAsia="宋体" w:cs="Times New Roman"/>
              </w:rPr>
            </w:pPr>
          </w:p>
          <w:p w14:paraId="4FCCAAAF">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628F10B3">
            <w:pPr>
              <w:spacing w:before="2" w:line="293" w:lineRule="auto"/>
              <w:ind w:left="120" w:right="106" w:hanging="9"/>
              <w:rPr>
                <w:rFonts w:eastAsia="宋体" w:cs="Times New Roman"/>
              </w:rPr>
            </w:pPr>
            <w:r>
              <w:rPr>
                <w:rFonts w:eastAsia="宋体" w:cs="Times New Roman"/>
              </w:rPr>
              <w:t xml:space="preserve">优：对项目总体有深刻认识，表述清晰、完整、严谨、合理、措施先进具体、有效、成熟，采用了新技术、新工艺、新材料、新设备；满足绿色施工要求，施工段划分呼应总体表述，划分清晰、合理、符合规范要求； 良：对项目总体有一定认识，表述清晰、完整，措施具体有效； 基本满足绿色施工要求，施工段划分呼应总体表述，划分清晰，符合规范要求； 中：对项目总体有认识，有一定的措施但部分不具体；基本满足绿色施工要求； </w:t>
            </w:r>
          </w:p>
          <w:p w14:paraId="05596E1B">
            <w:pPr>
              <w:spacing w:before="2" w:line="293" w:lineRule="auto"/>
              <w:ind w:left="120" w:right="106" w:hanging="9"/>
              <w:rPr>
                <w:rFonts w:eastAsia="宋体" w:cs="Times New Roman"/>
              </w:rPr>
            </w:pPr>
            <w:r>
              <w:rPr>
                <w:rFonts w:eastAsia="宋体" w:cs="Times New Roman"/>
              </w:rPr>
              <w:t xml:space="preserve">差：对项目认识不足，表述不清晰，措施不具体；不满足绿色施工要求， 施工段划分不合理。 （优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6519D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3" w:hRule="atLeast"/>
          <w:jc w:val="center"/>
        </w:trPr>
        <w:tc>
          <w:tcPr>
            <w:tcW w:w="1196" w:type="dxa"/>
            <w:vMerge w:val="continue"/>
            <w:noWrap w:val="0"/>
            <w:vAlign w:val="top"/>
          </w:tcPr>
          <w:p w14:paraId="3677FD9B">
            <w:pPr>
              <w:spacing w:before="2" w:line="293" w:lineRule="auto"/>
              <w:ind w:left="120" w:right="106" w:hanging="9"/>
              <w:rPr>
                <w:rFonts w:eastAsia="宋体" w:cs="Times New Roman"/>
              </w:rPr>
            </w:pPr>
          </w:p>
        </w:tc>
        <w:tc>
          <w:tcPr>
            <w:tcW w:w="1072" w:type="dxa"/>
            <w:noWrap w:val="0"/>
            <w:vAlign w:val="top"/>
          </w:tcPr>
          <w:p w14:paraId="30F4AD78">
            <w:pPr>
              <w:spacing w:before="2" w:line="293" w:lineRule="auto"/>
              <w:ind w:left="120" w:right="106" w:hanging="9"/>
              <w:rPr>
                <w:rFonts w:eastAsia="宋体" w:cs="Times New Roman"/>
              </w:rPr>
            </w:pPr>
          </w:p>
          <w:p w14:paraId="221EA19E">
            <w:pPr>
              <w:spacing w:before="2" w:line="293" w:lineRule="auto"/>
              <w:ind w:left="120" w:right="106" w:hanging="9"/>
              <w:rPr>
                <w:rFonts w:eastAsia="宋体" w:cs="Times New Roman"/>
              </w:rPr>
            </w:pPr>
            <w:bookmarkStart w:id="263" w:name="_Toc14310"/>
            <w:r>
              <w:rPr>
                <w:rFonts w:eastAsia="宋体" w:cs="Times New Roman"/>
              </w:rPr>
              <w:t>施工进度</w:t>
            </w:r>
            <w:bookmarkEnd w:id="263"/>
          </w:p>
          <w:p w14:paraId="637CC4CE">
            <w:pPr>
              <w:spacing w:before="2" w:line="293" w:lineRule="auto"/>
              <w:ind w:left="120" w:right="106" w:hanging="9"/>
              <w:rPr>
                <w:rFonts w:eastAsia="宋体" w:cs="Times New Roman"/>
              </w:rPr>
            </w:pPr>
            <w:r>
              <w:rPr>
                <w:rFonts w:hint="eastAsia" w:eastAsia="宋体" w:cs="Times New Roman"/>
                <w:lang w:val="en-US" w:eastAsia="zh-CN"/>
              </w:rPr>
              <w:t>计</w:t>
            </w:r>
            <w:r>
              <w:rPr>
                <w:rFonts w:eastAsia="宋体" w:cs="Times New Roman"/>
              </w:rPr>
              <w:t>划和各阶段进度的保证措 施及违约责任承诺</w:t>
            </w:r>
          </w:p>
        </w:tc>
        <w:tc>
          <w:tcPr>
            <w:tcW w:w="650" w:type="dxa"/>
            <w:noWrap w:val="0"/>
            <w:vAlign w:val="top"/>
          </w:tcPr>
          <w:p w14:paraId="6DA6213B">
            <w:pPr>
              <w:spacing w:before="2" w:line="293" w:lineRule="auto"/>
              <w:ind w:left="120" w:right="106" w:hanging="9"/>
              <w:rPr>
                <w:rFonts w:eastAsia="宋体" w:cs="Times New Roman"/>
              </w:rPr>
            </w:pPr>
          </w:p>
          <w:p w14:paraId="182574B2">
            <w:pPr>
              <w:spacing w:before="2" w:line="293" w:lineRule="auto"/>
              <w:ind w:right="106"/>
              <w:rPr>
                <w:rFonts w:hint="eastAsia" w:eastAsia="宋体" w:cs="Times New Roman"/>
                <w:lang w:eastAsia="zh-CN"/>
              </w:rPr>
            </w:pPr>
          </w:p>
          <w:p w14:paraId="04E8ABAE">
            <w:pPr>
              <w:pStyle w:val="26"/>
              <w:rPr>
                <w:rFonts w:hint="eastAsia"/>
                <w:lang w:eastAsia="zh-CN"/>
              </w:rPr>
            </w:pPr>
          </w:p>
          <w:p w14:paraId="436E0772">
            <w:pPr>
              <w:spacing w:before="2" w:line="293" w:lineRule="auto"/>
              <w:ind w:left="120" w:right="106" w:hanging="9"/>
              <w:rPr>
                <w:rFonts w:eastAsia="宋体" w:cs="Times New Roman"/>
              </w:rPr>
            </w:pPr>
            <w:bookmarkStart w:id="264" w:name="_Toc8271"/>
            <w:r>
              <w:rPr>
                <w:rFonts w:eastAsia="宋体" w:cs="Times New Roman"/>
              </w:rPr>
              <w:t>1</w:t>
            </w:r>
            <w:r>
              <w:rPr>
                <w:rFonts w:hint="eastAsia" w:eastAsia="宋体" w:cs="Times New Roman"/>
                <w:lang w:val="en-US" w:eastAsia="zh-CN"/>
              </w:rPr>
              <w:t>0</w:t>
            </w:r>
            <w:r>
              <w:rPr>
                <w:rFonts w:eastAsia="宋体" w:cs="Times New Roman"/>
              </w:rPr>
              <w:t>分</w:t>
            </w:r>
            <w:bookmarkEnd w:id="264"/>
          </w:p>
        </w:tc>
        <w:tc>
          <w:tcPr>
            <w:tcW w:w="6083" w:type="dxa"/>
            <w:noWrap w:val="0"/>
            <w:vAlign w:val="top"/>
          </w:tcPr>
          <w:p w14:paraId="5FEAED26">
            <w:pPr>
              <w:spacing w:before="2" w:line="293" w:lineRule="auto"/>
              <w:ind w:left="120" w:right="106" w:hanging="9"/>
              <w:rPr>
                <w:rFonts w:eastAsia="宋体" w:cs="Times New Roman"/>
              </w:rPr>
            </w:pPr>
            <w:r>
              <w:rPr>
                <w:rFonts w:eastAsia="宋体" w:cs="Times New Roman"/>
              </w:rPr>
              <w:t>优：关键线路清晰、准确、完整，计划编制合理、可行。关键节点的控制措施有力、合理、可行。进度违约责任承诺具体，经济赔偿最大； 良</w:t>
            </w:r>
            <w:r>
              <w:rPr>
                <w:rFonts w:hint="eastAsia" w:eastAsia="宋体" w:cs="Times New Roman"/>
                <w:lang w:eastAsia="zh-CN"/>
              </w:rPr>
              <w:t>：</w:t>
            </w:r>
            <w:r>
              <w:rPr>
                <w:rFonts w:eastAsia="宋体" w:cs="Times New Roman"/>
              </w:rPr>
              <w:t>关键线路清晰、准确、完整，计划编制可行。关键节点的控制措施 合理，可行。进度违约怎人承诺具体，经济赔偿大。 中：关键线路基本准确，计划编制基本合理。关键节点的控制措施基本 可行。 差：关键线路不准确，计划编制不合理。关键节点的控制不可行。没有违约责任承诺。</w:t>
            </w:r>
          </w:p>
          <w:p w14:paraId="42E3BF11">
            <w:pPr>
              <w:spacing w:before="2" w:line="293" w:lineRule="auto"/>
              <w:ind w:left="120" w:right="106" w:hanging="9"/>
              <w:rPr>
                <w:rFonts w:eastAsia="宋体" w:cs="Times New Roman"/>
              </w:rPr>
            </w:pPr>
            <w:r>
              <w:rPr>
                <w:rFonts w:eastAsia="宋体" w:cs="Times New Roman"/>
              </w:rPr>
              <w:t xml:space="preserve">（优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6A042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0" w:hRule="atLeast"/>
          <w:jc w:val="center"/>
        </w:trPr>
        <w:tc>
          <w:tcPr>
            <w:tcW w:w="1196" w:type="dxa"/>
            <w:vMerge w:val="continue"/>
            <w:noWrap w:val="0"/>
            <w:vAlign w:val="top"/>
          </w:tcPr>
          <w:p w14:paraId="4E5448DB">
            <w:pPr>
              <w:spacing w:before="2" w:line="293" w:lineRule="auto"/>
              <w:ind w:left="120" w:right="106" w:hanging="9"/>
              <w:rPr>
                <w:rFonts w:eastAsia="宋体" w:cs="Times New Roman"/>
              </w:rPr>
            </w:pPr>
          </w:p>
        </w:tc>
        <w:tc>
          <w:tcPr>
            <w:tcW w:w="1072" w:type="dxa"/>
            <w:tcBorders>
              <w:bottom w:val="single" w:color="auto" w:sz="4" w:space="0"/>
            </w:tcBorders>
            <w:noWrap w:val="0"/>
            <w:vAlign w:val="top"/>
          </w:tcPr>
          <w:p w14:paraId="67A025D7">
            <w:pPr>
              <w:spacing w:before="2" w:line="293" w:lineRule="auto"/>
              <w:ind w:right="106"/>
              <w:rPr>
                <w:rFonts w:eastAsia="宋体" w:cs="Times New Roman"/>
              </w:rPr>
            </w:pPr>
          </w:p>
          <w:p w14:paraId="2F3FD275">
            <w:pPr>
              <w:spacing w:before="2" w:line="293" w:lineRule="auto"/>
              <w:ind w:left="120" w:right="106" w:hanging="9"/>
              <w:rPr>
                <w:rFonts w:eastAsia="宋体" w:cs="Times New Roman"/>
              </w:rPr>
            </w:pPr>
            <w:r>
              <w:rPr>
                <w:rFonts w:eastAsia="宋体" w:cs="Times New Roman"/>
              </w:rPr>
              <w:t>项目管理</w:t>
            </w:r>
          </w:p>
          <w:p w14:paraId="69B9D142">
            <w:pPr>
              <w:spacing w:before="2" w:line="293" w:lineRule="auto"/>
              <w:ind w:left="120" w:right="106" w:hanging="9"/>
              <w:rPr>
                <w:rFonts w:eastAsia="宋体" w:cs="Times New Roman"/>
              </w:rPr>
            </w:pPr>
            <w:r>
              <w:rPr>
                <w:rFonts w:eastAsia="宋体" w:cs="Times New Roman"/>
              </w:rPr>
              <w:t>班子配备、 劳动力、机械设备和材料投入计划</w:t>
            </w:r>
          </w:p>
        </w:tc>
        <w:tc>
          <w:tcPr>
            <w:tcW w:w="650" w:type="dxa"/>
            <w:noWrap w:val="0"/>
            <w:vAlign w:val="top"/>
          </w:tcPr>
          <w:p w14:paraId="32108BDD">
            <w:pPr>
              <w:spacing w:before="2" w:line="293" w:lineRule="auto"/>
              <w:ind w:left="120" w:right="106" w:hanging="9"/>
              <w:rPr>
                <w:rFonts w:eastAsia="宋体" w:cs="Times New Roman"/>
              </w:rPr>
            </w:pPr>
          </w:p>
          <w:p w14:paraId="6CB80431">
            <w:pPr>
              <w:spacing w:before="2" w:line="293" w:lineRule="auto"/>
              <w:ind w:right="106"/>
              <w:rPr>
                <w:rFonts w:eastAsia="宋体" w:cs="Times New Roman"/>
              </w:rPr>
            </w:pPr>
          </w:p>
          <w:p w14:paraId="4F2CBB23">
            <w:pPr>
              <w:pStyle w:val="26"/>
            </w:pPr>
          </w:p>
          <w:p w14:paraId="440274A7">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704BCB66">
            <w:pPr>
              <w:spacing w:before="2" w:line="293" w:lineRule="auto"/>
              <w:ind w:left="120" w:right="106" w:hanging="9"/>
              <w:rPr>
                <w:rFonts w:hint="eastAsia"/>
                <w:lang w:eastAsia="zh-CN"/>
              </w:rPr>
            </w:pPr>
            <w:r>
              <w:rPr>
                <w:rFonts w:hint="eastAsia"/>
                <w:lang w:val="en-US" w:eastAsia="zh-CN"/>
              </w:rPr>
              <w:t>优：</w:t>
            </w:r>
            <w:r>
              <w:t>项目管理班子配备合理，投入计划与进度计划合理，能很好的满足施工需要，调配投入计划合理、准确，采用先进机械设备，降噪措施很好满足绿色施工要求</w:t>
            </w:r>
            <w:r>
              <w:rPr>
                <w:rFonts w:hint="eastAsia"/>
                <w:lang w:eastAsia="zh-CN"/>
              </w:rPr>
              <w:t>；</w:t>
            </w:r>
            <w:r>
              <w:rPr>
                <w:rFonts w:hint="eastAsia"/>
                <w:lang w:val="en-US" w:eastAsia="zh-CN"/>
              </w:rPr>
              <w:t>良：</w:t>
            </w:r>
            <w:r>
              <w:t xml:space="preserve">项目管理班子配备较合理，较好满足施工需要，调配投入计划较合理、准确，降噪措施较好满足绿色施工要求 </w:t>
            </w:r>
            <w:r>
              <w:rPr>
                <w:rFonts w:hint="eastAsia"/>
                <w:lang w:eastAsia="zh-CN"/>
              </w:rPr>
              <w:t>；</w:t>
            </w:r>
            <w:r>
              <w:rPr>
                <w:rFonts w:hint="eastAsia"/>
                <w:lang w:val="en-US" w:eastAsia="zh-CN"/>
              </w:rPr>
              <w:t>中：</w:t>
            </w:r>
            <w:r>
              <w:t>项目管理班子配备基本合理，基本满足施工需要，调配投入计划基本合理、准确，降噪措施基本满足绿色施工要求</w:t>
            </w:r>
            <w:r>
              <w:rPr>
                <w:rFonts w:hint="eastAsia"/>
                <w:lang w:eastAsia="zh-CN"/>
              </w:rPr>
              <w:t>；</w:t>
            </w:r>
            <w:r>
              <w:t xml:space="preserve"> </w:t>
            </w:r>
            <w:r>
              <w:rPr>
                <w:rFonts w:hint="eastAsia"/>
                <w:lang w:val="en-US" w:eastAsia="zh-CN"/>
              </w:rPr>
              <w:t>差：</w:t>
            </w:r>
            <w:r>
              <w:t>项目管理班子配备不具体，不满足施工需要，调配投入计划不具体、不准确，降噪措施不具体或未对本项要求进行编写</w:t>
            </w:r>
            <w:r>
              <w:rPr>
                <w:rFonts w:hint="eastAsia"/>
                <w:lang w:eastAsia="zh-CN"/>
              </w:rPr>
              <w:t>。</w:t>
            </w:r>
          </w:p>
          <w:p w14:paraId="0762E603">
            <w:pPr>
              <w:pStyle w:val="26"/>
              <w:ind w:left="0" w:leftChars="0" w:firstLine="0" w:firstLineChars="0"/>
              <w:rPr>
                <w:rFonts w:hint="eastAsia"/>
                <w:lang w:eastAsia="zh-CN"/>
              </w:rPr>
            </w:pPr>
            <w:r>
              <w:rPr>
                <w:rFonts w:eastAsia="宋体" w:cs="Times New Roman"/>
              </w:rPr>
              <w:t xml:space="preserve">（优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73ED8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9" w:hRule="atLeast"/>
          <w:jc w:val="center"/>
        </w:trPr>
        <w:tc>
          <w:tcPr>
            <w:tcW w:w="1196" w:type="dxa"/>
            <w:vMerge w:val="continue"/>
            <w:noWrap w:val="0"/>
            <w:vAlign w:val="top"/>
          </w:tcPr>
          <w:p w14:paraId="76C1881B">
            <w:pPr>
              <w:spacing w:before="2" w:line="293" w:lineRule="auto"/>
              <w:ind w:left="120" w:right="106" w:hanging="9"/>
              <w:rPr>
                <w:rFonts w:eastAsia="宋体" w:cs="Times New Roman"/>
              </w:rPr>
            </w:pPr>
          </w:p>
        </w:tc>
        <w:tc>
          <w:tcPr>
            <w:tcW w:w="1072" w:type="dxa"/>
            <w:tcBorders>
              <w:top w:val="single" w:color="auto" w:sz="4" w:space="0"/>
            </w:tcBorders>
            <w:noWrap w:val="0"/>
            <w:vAlign w:val="top"/>
          </w:tcPr>
          <w:p w14:paraId="0E15A4D9">
            <w:pPr>
              <w:spacing w:before="2" w:line="293" w:lineRule="auto"/>
              <w:ind w:left="120" w:right="106" w:hanging="9"/>
              <w:rPr>
                <w:rFonts w:eastAsia="宋体" w:cs="Times New Roman"/>
              </w:rPr>
            </w:pPr>
          </w:p>
          <w:p w14:paraId="7B4EEA1F">
            <w:pPr>
              <w:spacing w:before="2" w:line="293" w:lineRule="auto"/>
              <w:ind w:left="120" w:right="106" w:hanging="9"/>
              <w:rPr>
                <w:rFonts w:eastAsia="宋体" w:cs="Times New Roman"/>
              </w:rPr>
            </w:pPr>
            <w:r>
              <w:rPr>
                <w:rFonts w:eastAsia="宋体" w:cs="Times New Roman"/>
              </w:rPr>
              <w:t>施工平面布置和临时设施布置</w:t>
            </w:r>
          </w:p>
        </w:tc>
        <w:tc>
          <w:tcPr>
            <w:tcW w:w="650" w:type="dxa"/>
            <w:noWrap w:val="0"/>
            <w:vAlign w:val="top"/>
          </w:tcPr>
          <w:p w14:paraId="17F36F4C">
            <w:pPr>
              <w:spacing w:before="2" w:line="293" w:lineRule="auto"/>
              <w:ind w:left="120" w:right="106" w:hanging="9"/>
              <w:rPr>
                <w:rFonts w:eastAsia="宋体" w:cs="Times New Roman"/>
              </w:rPr>
            </w:pPr>
          </w:p>
          <w:p w14:paraId="1CCEEDDA">
            <w:pPr>
              <w:spacing w:before="2" w:line="293" w:lineRule="auto"/>
              <w:ind w:right="106"/>
              <w:rPr>
                <w:rFonts w:eastAsia="宋体" w:cs="Times New Roman"/>
              </w:rPr>
            </w:pPr>
          </w:p>
          <w:p w14:paraId="3737BC14">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656F323B">
            <w:pPr>
              <w:spacing w:before="2" w:line="293" w:lineRule="auto"/>
              <w:ind w:left="120" w:right="106" w:hanging="9"/>
            </w:pPr>
            <w:r>
              <w:rPr>
                <w:rFonts w:hint="eastAsia"/>
                <w:lang w:val="en-US" w:eastAsia="zh-CN"/>
              </w:rPr>
              <w:t>优：</w:t>
            </w:r>
            <w:r>
              <w:t>总体布置有针对性、合理，较好满足绿色施工需要，符合安全、文明生产要求；</w:t>
            </w:r>
            <w:r>
              <w:rPr>
                <w:rFonts w:hint="eastAsia"/>
                <w:lang w:val="en-US" w:eastAsia="zh-CN"/>
              </w:rPr>
              <w:t xml:space="preserve">   良：</w:t>
            </w:r>
            <w:r>
              <w:t>总体布置合理，能满足绿色施工需要，基本符合安全、文明生产要求 ；</w:t>
            </w:r>
          </w:p>
          <w:p w14:paraId="1AE2DFF2">
            <w:pPr>
              <w:spacing w:before="2" w:line="293" w:lineRule="auto"/>
              <w:ind w:left="120" w:right="106" w:hanging="9"/>
            </w:pPr>
            <w:r>
              <w:rPr>
                <w:rFonts w:hint="eastAsia"/>
                <w:lang w:val="en-US" w:eastAsia="zh-CN"/>
              </w:rPr>
              <w:t>中：</w:t>
            </w:r>
            <w:r>
              <w:t xml:space="preserve">总体布置基本合理，基本满足绿色施工需要；    </w:t>
            </w:r>
          </w:p>
          <w:p w14:paraId="0911AC7D">
            <w:pPr>
              <w:spacing w:before="2" w:line="293" w:lineRule="auto"/>
              <w:ind w:right="106"/>
              <w:rPr>
                <w:rFonts w:hint="eastAsia" w:eastAsia="宋体"/>
                <w:lang w:val="en-US" w:eastAsia="zh-CN"/>
              </w:rPr>
            </w:pPr>
            <w:r>
              <w:t xml:space="preserve"> </w:t>
            </w:r>
            <w:r>
              <w:rPr>
                <w:rFonts w:hint="eastAsia"/>
                <w:lang w:val="en-US" w:eastAsia="zh-CN"/>
              </w:rPr>
              <w:t>差：</w:t>
            </w:r>
            <w:r>
              <w:t>总体布置不合理，不满足绿色施工需要，不符合安全、文明生产要</w:t>
            </w:r>
            <w:r>
              <w:rPr>
                <w:rFonts w:hint="eastAsia"/>
                <w:lang w:val="en-US" w:eastAsia="zh-CN"/>
              </w:rPr>
              <w:t>求。</w:t>
            </w:r>
          </w:p>
          <w:p w14:paraId="0C54C0AF">
            <w:pPr>
              <w:pStyle w:val="26"/>
              <w:ind w:left="0" w:leftChars="0" w:firstLine="0" w:firstLineChars="0"/>
            </w:pPr>
            <w:r>
              <w:rPr>
                <w:rFonts w:eastAsia="宋体" w:cs="Times New Roman"/>
              </w:rPr>
              <w:t xml:space="preserve">（优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47420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5" w:hRule="atLeast"/>
          <w:jc w:val="center"/>
        </w:trPr>
        <w:tc>
          <w:tcPr>
            <w:tcW w:w="1196" w:type="dxa"/>
            <w:vMerge w:val="continue"/>
            <w:noWrap w:val="0"/>
            <w:vAlign w:val="top"/>
          </w:tcPr>
          <w:p w14:paraId="444FA90C">
            <w:pPr>
              <w:spacing w:before="2" w:line="293" w:lineRule="auto"/>
              <w:ind w:left="120" w:right="106" w:hanging="9"/>
              <w:rPr>
                <w:rFonts w:eastAsia="宋体" w:cs="Times New Roman"/>
              </w:rPr>
            </w:pPr>
          </w:p>
        </w:tc>
        <w:tc>
          <w:tcPr>
            <w:tcW w:w="1072" w:type="dxa"/>
            <w:noWrap w:val="0"/>
            <w:vAlign w:val="top"/>
          </w:tcPr>
          <w:p w14:paraId="2C30494A">
            <w:pPr>
              <w:spacing w:before="2" w:line="293" w:lineRule="auto"/>
              <w:ind w:right="106"/>
              <w:rPr>
                <w:rFonts w:eastAsia="宋体" w:cs="Times New Roman"/>
              </w:rPr>
            </w:pPr>
          </w:p>
          <w:p w14:paraId="257AE12E">
            <w:pPr>
              <w:spacing w:before="2" w:line="293" w:lineRule="auto"/>
              <w:ind w:right="106"/>
              <w:rPr>
                <w:rFonts w:eastAsia="宋体" w:cs="Times New Roman"/>
              </w:rPr>
            </w:pPr>
            <w:r>
              <w:rPr>
                <w:rFonts w:eastAsia="宋体" w:cs="Times New Roman"/>
              </w:rPr>
              <w:t>关键施工 技术、工 艺及工程 项目实施 的重点、 难点分析 和解决方</w:t>
            </w:r>
          </w:p>
          <w:p w14:paraId="3991D639">
            <w:pPr>
              <w:spacing w:before="2" w:line="293" w:lineRule="auto"/>
              <w:ind w:left="120" w:right="106" w:hanging="9"/>
              <w:rPr>
                <w:rFonts w:eastAsia="宋体" w:cs="Times New Roman"/>
              </w:rPr>
            </w:pPr>
            <w:r>
              <w:rPr>
                <w:rFonts w:eastAsia="宋体" w:cs="Times New Roman"/>
              </w:rPr>
              <w:t>案</w:t>
            </w:r>
          </w:p>
        </w:tc>
        <w:tc>
          <w:tcPr>
            <w:tcW w:w="650" w:type="dxa"/>
            <w:noWrap w:val="0"/>
            <w:vAlign w:val="top"/>
          </w:tcPr>
          <w:p w14:paraId="5E2BE0B9">
            <w:pPr>
              <w:spacing w:before="2" w:line="293" w:lineRule="auto"/>
              <w:ind w:left="120" w:right="106" w:hanging="9"/>
              <w:rPr>
                <w:rFonts w:eastAsia="宋体" w:cs="Times New Roman"/>
              </w:rPr>
            </w:pPr>
          </w:p>
          <w:p w14:paraId="1CE16677">
            <w:pPr>
              <w:spacing w:before="2" w:line="293" w:lineRule="auto"/>
              <w:ind w:left="120" w:right="106" w:hanging="9"/>
              <w:rPr>
                <w:rFonts w:eastAsia="宋体" w:cs="Times New Roman"/>
              </w:rPr>
            </w:pPr>
          </w:p>
          <w:p w14:paraId="144EA9E6">
            <w:pPr>
              <w:spacing w:before="2" w:line="293" w:lineRule="auto"/>
              <w:ind w:right="106"/>
              <w:rPr>
                <w:rFonts w:eastAsia="宋体" w:cs="Times New Roman"/>
              </w:rPr>
            </w:pPr>
          </w:p>
          <w:p w14:paraId="2F340170">
            <w:pPr>
              <w:pStyle w:val="26"/>
            </w:pPr>
          </w:p>
          <w:p w14:paraId="183AA2AA">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1664FAD4">
            <w:pPr>
              <w:spacing w:before="2" w:line="293" w:lineRule="auto"/>
              <w:ind w:left="120" w:right="106" w:hanging="9"/>
            </w:pPr>
            <w:r>
              <w:rPr>
                <w:rFonts w:hint="eastAsia"/>
                <w:lang w:val="en-US" w:eastAsia="zh-CN"/>
              </w:rPr>
              <w:t>优：</w:t>
            </w:r>
            <w:r>
              <w:t>对项目关键技术、工艺有深入的表述；对重点、难点有先进、 合理的建议，解决方案完整、经济、安全、切实可行，措施得力</w:t>
            </w:r>
            <w:r>
              <w:rPr>
                <w:rFonts w:hint="eastAsia"/>
                <w:lang w:eastAsia="zh-CN"/>
              </w:rPr>
              <w:t>；</w:t>
            </w:r>
            <w:r>
              <w:rPr>
                <w:rFonts w:hint="eastAsia"/>
                <w:lang w:val="en-US" w:eastAsia="zh-CN"/>
              </w:rPr>
              <w:t xml:space="preserve">   良：</w:t>
            </w:r>
            <w:r>
              <w:t>对项目关键技术、工艺有深入的表述；对重点、难点有合理的建议，解决方案经济、安全、基本可行</w:t>
            </w:r>
            <w:r>
              <w:rPr>
                <w:rFonts w:hint="eastAsia"/>
                <w:lang w:eastAsia="zh-CN"/>
              </w:rPr>
              <w:t>；</w:t>
            </w:r>
            <w:r>
              <w:t xml:space="preserve">  </w:t>
            </w:r>
          </w:p>
          <w:p w14:paraId="4DABDAAF">
            <w:pPr>
              <w:spacing w:before="2" w:line="293" w:lineRule="auto"/>
              <w:ind w:left="120" w:right="106" w:hanging="9"/>
              <w:rPr>
                <w:rFonts w:hint="eastAsia"/>
                <w:lang w:eastAsia="zh-CN"/>
              </w:rPr>
            </w:pPr>
            <w:r>
              <w:rPr>
                <w:rFonts w:hint="eastAsia"/>
                <w:lang w:val="en-US" w:eastAsia="zh-CN"/>
              </w:rPr>
              <w:t>中：</w:t>
            </w:r>
            <w:r>
              <w:t>对项目关键技术有一定了解</w:t>
            </w:r>
            <w:r>
              <w:rPr>
                <w:rFonts w:hint="eastAsia"/>
                <w:lang w:eastAsia="zh-CN"/>
              </w:rPr>
              <w:t>，</w:t>
            </w:r>
            <w:r>
              <w:t>对重点、难点有建议，解决方案基本可行</w:t>
            </w:r>
            <w:r>
              <w:rPr>
                <w:rFonts w:hint="eastAsia"/>
                <w:lang w:eastAsia="zh-CN"/>
              </w:rPr>
              <w:t>；</w:t>
            </w:r>
          </w:p>
          <w:p w14:paraId="470711D9">
            <w:pPr>
              <w:spacing w:before="2" w:line="293" w:lineRule="auto"/>
              <w:ind w:left="120" w:right="106" w:hanging="9"/>
              <w:rPr>
                <w:rFonts w:hint="eastAsia" w:eastAsia="宋体" w:cs="Times New Roman"/>
                <w:lang w:eastAsia="zh-CN"/>
              </w:rPr>
            </w:pPr>
            <w:r>
              <w:rPr>
                <w:rFonts w:hint="eastAsia"/>
                <w:lang w:val="en-US" w:eastAsia="zh-CN"/>
              </w:rPr>
              <w:t>差：</w:t>
            </w:r>
            <w:r>
              <w:t>对项目关键技术有表述，对重点、难点有建议，解决方案不可行</w:t>
            </w:r>
            <w:r>
              <w:rPr>
                <w:rFonts w:hint="eastAsia"/>
                <w:lang w:eastAsia="zh-CN"/>
              </w:rPr>
              <w:t>。</w:t>
            </w:r>
            <w:r>
              <w:rPr>
                <w:rFonts w:eastAsia="宋体" w:cs="Times New Roman"/>
              </w:rPr>
              <w:t xml:space="preserve">（优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4215C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4" w:hRule="atLeast"/>
          <w:jc w:val="center"/>
        </w:trPr>
        <w:tc>
          <w:tcPr>
            <w:tcW w:w="1196" w:type="dxa"/>
            <w:vMerge w:val="continue"/>
            <w:tcBorders>
              <w:bottom w:val="single" w:color="auto" w:sz="4" w:space="0"/>
            </w:tcBorders>
            <w:noWrap w:val="0"/>
            <w:vAlign w:val="top"/>
          </w:tcPr>
          <w:p w14:paraId="188682D2">
            <w:pPr>
              <w:spacing w:before="2" w:line="293" w:lineRule="auto"/>
              <w:ind w:left="120" w:right="106" w:hanging="9"/>
              <w:rPr>
                <w:rFonts w:eastAsia="宋体" w:cs="Times New Roman"/>
              </w:rPr>
            </w:pPr>
          </w:p>
        </w:tc>
        <w:tc>
          <w:tcPr>
            <w:tcW w:w="1072" w:type="dxa"/>
            <w:tcBorders>
              <w:bottom w:val="single" w:color="auto" w:sz="4" w:space="0"/>
            </w:tcBorders>
            <w:noWrap w:val="0"/>
            <w:vAlign w:val="top"/>
          </w:tcPr>
          <w:p w14:paraId="6E46862A">
            <w:pPr>
              <w:spacing w:before="2" w:line="293" w:lineRule="auto"/>
              <w:ind w:left="120" w:right="106" w:hanging="9"/>
              <w:rPr>
                <w:rFonts w:eastAsia="宋体" w:cs="Times New Roman"/>
              </w:rPr>
            </w:pPr>
          </w:p>
          <w:p w14:paraId="4418E964">
            <w:pPr>
              <w:spacing w:before="2" w:line="293" w:lineRule="auto"/>
              <w:ind w:left="120" w:right="106" w:hanging="9"/>
              <w:rPr>
                <w:rFonts w:eastAsia="宋体" w:cs="Times New Roman"/>
              </w:rPr>
            </w:pPr>
          </w:p>
          <w:p w14:paraId="1FAEAF9B">
            <w:pPr>
              <w:spacing w:before="2" w:line="293" w:lineRule="auto"/>
              <w:ind w:left="120" w:right="106" w:hanging="9"/>
              <w:rPr>
                <w:rFonts w:eastAsia="宋体" w:cs="Times New Roman"/>
              </w:rPr>
            </w:pPr>
            <w:r>
              <w:rPr>
                <w:rFonts w:eastAsia="宋体" w:cs="Times New Roman"/>
              </w:rPr>
              <w:t>安全文明 施工措施</w:t>
            </w:r>
          </w:p>
        </w:tc>
        <w:tc>
          <w:tcPr>
            <w:tcW w:w="650" w:type="dxa"/>
            <w:noWrap w:val="0"/>
            <w:vAlign w:val="top"/>
          </w:tcPr>
          <w:p w14:paraId="17CD30B0">
            <w:pPr>
              <w:spacing w:before="2" w:line="293" w:lineRule="auto"/>
              <w:ind w:left="120" w:right="106" w:hanging="9"/>
              <w:rPr>
                <w:rFonts w:eastAsia="宋体" w:cs="Times New Roman"/>
              </w:rPr>
            </w:pPr>
          </w:p>
          <w:p w14:paraId="57D53C4B">
            <w:pPr>
              <w:spacing w:before="2" w:line="293" w:lineRule="auto"/>
              <w:ind w:right="106"/>
              <w:rPr>
                <w:rFonts w:eastAsia="宋体" w:cs="Times New Roman"/>
              </w:rPr>
            </w:pPr>
          </w:p>
          <w:p w14:paraId="15692B72">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4A309779">
            <w:pPr>
              <w:spacing w:before="2" w:line="293" w:lineRule="auto"/>
              <w:ind w:left="120" w:right="106" w:hanging="9"/>
              <w:rPr>
                <w:rFonts w:hint="eastAsia"/>
                <w:lang w:eastAsia="zh-CN"/>
              </w:rPr>
            </w:pPr>
            <w:r>
              <w:rPr>
                <w:rFonts w:hint="eastAsia"/>
                <w:lang w:val="en-US" w:eastAsia="zh-CN"/>
              </w:rPr>
              <w:t>优：</w:t>
            </w:r>
            <w:r>
              <w:t>针对项目实际情况，有先进、具体、完整、可行的实施措施， 采用规范正确、清晰</w:t>
            </w:r>
            <w:r>
              <w:rPr>
                <w:rFonts w:hint="eastAsia"/>
                <w:lang w:eastAsia="zh-CN"/>
              </w:rPr>
              <w:t>；</w:t>
            </w:r>
            <w:r>
              <w:rPr>
                <w:rFonts w:hint="eastAsia"/>
                <w:lang w:val="en-US" w:eastAsia="zh-CN"/>
              </w:rPr>
              <w:t xml:space="preserve">    良：</w:t>
            </w:r>
            <w:r>
              <w:t xml:space="preserve">针对项目实际情况，有合理的措施且具体、完整，采用规范正确 </w:t>
            </w:r>
            <w:r>
              <w:rPr>
                <w:rFonts w:hint="eastAsia"/>
                <w:lang w:eastAsia="zh-CN"/>
              </w:rPr>
              <w:t>；</w:t>
            </w:r>
          </w:p>
          <w:p w14:paraId="4CB9C441">
            <w:pPr>
              <w:spacing w:before="2" w:line="293" w:lineRule="auto"/>
              <w:ind w:left="120" w:right="106" w:hanging="9"/>
              <w:rPr>
                <w:rFonts w:hint="eastAsia"/>
                <w:lang w:eastAsia="zh-CN"/>
              </w:rPr>
            </w:pPr>
            <w:r>
              <w:rPr>
                <w:rFonts w:hint="eastAsia"/>
                <w:lang w:val="en-US" w:eastAsia="zh-CN"/>
              </w:rPr>
              <w:t>中：</w:t>
            </w:r>
            <w:r>
              <w:t>针对项目实际情况，有合理的措施但不具体、不完整，采用规范</w:t>
            </w:r>
            <w:r>
              <w:rPr>
                <w:rFonts w:hint="eastAsia"/>
                <w:lang w:val="en-US" w:eastAsia="zh-CN"/>
              </w:rPr>
              <w:t>不</w:t>
            </w:r>
            <w:r>
              <w:t>正确</w:t>
            </w:r>
            <w:r>
              <w:rPr>
                <w:rFonts w:hint="eastAsia"/>
                <w:lang w:eastAsia="zh-CN"/>
              </w:rPr>
              <w:t>；</w:t>
            </w:r>
          </w:p>
          <w:p w14:paraId="7A840BCB">
            <w:pPr>
              <w:spacing w:before="2" w:line="293" w:lineRule="auto"/>
              <w:ind w:left="120" w:right="106" w:hanging="9"/>
            </w:pPr>
            <w:r>
              <w:rPr>
                <w:rFonts w:hint="eastAsia"/>
                <w:lang w:val="en-US" w:eastAsia="zh-CN"/>
              </w:rPr>
              <w:t>差：</w:t>
            </w:r>
            <w:r>
              <w:t>安全文明措施不得力，采用规范不正确。</w:t>
            </w:r>
          </w:p>
          <w:p w14:paraId="0CE59552">
            <w:pPr>
              <w:pStyle w:val="26"/>
              <w:ind w:left="0" w:leftChars="0" w:firstLine="0" w:firstLineChars="0"/>
            </w:pPr>
            <w:r>
              <w:rPr>
                <w:rFonts w:eastAsia="宋体" w:cs="Times New Roman"/>
              </w:rPr>
              <w:t xml:space="preserve">（优 </w:t>
            </w:r>
            <w:r>
              <w:rPr>
                <w:rFonts w:hint="eastAsia" w:eastAsia="宋体" w:cs="Times New Roman"/>
                <w:lang w:val="en-US" w:eastAsia="zh-CN"/>
              </w:rPr>
              <w:t>10</w:t>
            </w:r>
            <w:r>
              <w:rPr>
                <w:rFonts w:eastAsia="宋体" w:cs="Times New Roman"/>
              </w:rPr>
              <w:t xml:space="preserve">-8 分、良 </w:t>
            </w:r>
            <w:r>
              <w:rPr>
                <w:rFonts w:hint="eastAsia" w:eastAsia="宋体" w:cs="Times New Roman"/>
                <w:lang w:val="en-US" w:eastAsia="zh-CN"/>
              </w:rPr>
              <w:t>7</w:t>
            </w:r>
            <w:r>
              <w:rPr>
                <w:rFonts w:eastAsia="宋体" w:cs="Times New Roman"/>
              </w:rPr>
              <w:t>-</w:t>
            </w:r>
            <w:r>
              <w:rPr>
                <w:rFonts w:hint="eastAsia" w:eastAsia="宋体" w:cs="Times New Roman"/>
                <w:lang w:val="en-US" w:eastAsia="zh-CN"/>
              </w:rPr>
              <w:t>5</w:t>
            </w:r>
            <w:r>
              <w:rPr>
                <w:rFonts w:eastAsia="宋体" w:cs="Times New Roman"/>
              </w:rPr>
              <w:t xml:space="preserve">分、中 </w:t>
            </w:r>
            <w:r>
              <w:rPr>
                <w:rFonts w:hint="eastAsia" w:eastAsia="宋体" w:cs="Times New Roman"/>
                <w:lang w:val="en-US" w:eastAsia="zh-CN"/>
              </w:rPr>
              <w:t>4</w:t>
            </w:r>
            <w:r>
              <w:rPr>
                <w:rFonts w:eastAsia="宋体" w:cs="Times New Roman"/>
              </w:rPr>
              <w:t>-</w:t>
            </w:r>
            <w:r>
              <w:rPr>
                <w:rFonts w:hint="eastAsia" w:eastAsia="宋体" w:cs="Times New Roman"/>
                <w:lang w:val="en-US" w:eastAsia="zh-CN"/>
              </w:rPr>
              <w:t>2</w:t>
            </w:r>
            <w:r>
              <w:rPr>
                <w:rFonts w:eastAsia="宋体" w:cs="Times New Roman"/>
              </w:rPr>
              <w:t xml:space="preserve"> 分、差 </w:t>
            </w:r>
            <w:r>
              <w:rPr>
                <w:rFonts w:hint="eastAsia" w:eastAsia="宋体" w:cs="Times New Roman"/>
                <w:lang w:val="en-US" w:eastAsia="zh-CN"/>
              </w:rPr>
              <w:t>1</w:t>
            </w:r>
            <w:r>
              <w:rPr>
                <w:rFonts w:eastAsia="宋体" w:cs="Times New Roman"/>
              </w:rPr>
              <w:t>-</w:t>
            </w:r>
            <w:r>
              <w:rPr>
                <w:rFonts w:hint="eastAsia" w:eastAsia="宋体" w:cs="Times New Roman"/>
                <w:lang w:val="en-US" w:eastAsia="zh-CN"/>
              </w:rPr>
              <w:t>0</w:t>
            </w:r>
            <w:r>
              <w:rPr>
                <w:rFonts w:eastAsia="宋体" w:cs="Times New Roman"/>
              </w:rPr>
              <w:t>分）</w:t>
            </w:r>
          </w:p>
        </w:tc>
      </w:tr>
      <w:tr w14:paraId="00EE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9" w:hRule="atLeast"/>
          <w:jc w:val="center"/>
        </w:trPr>
        <w:tc>
          <w:tcPr>
            <w:tcW w:w="1196" w:type="dxa"/>
            <w:tcBorders>
              <w:top w:val="single" w:color="auto" w:sz="4" w:space="0"/>
            </w:tcBorders>
            <w:noWrap w:val="0"/>
            <w:vAlign w:val="top"/>
          </w:tcPr>
          <w:p w14:paraId="688B65C5">
            <w:pPr>
              <w:spacing w:before="2" w:line="293" w:lineRule="auto"/>
              <w:ind w:left="120" w:right="106" w:hanging="9"/>
              <w:rPr>
                <w:rFonts w:eastAsia="宋体" w:cs="Times New Roman"/>
              </w:rPr>
            </w:pPr>
          </w:p>
        </w:tc>
        <w:tc>
          <w:tcPr>
            <w:tcW w:w="1072" w:type="dxa"/>
            <w:tcBorders>
              <w:top w:val="single" w:color="auto" w:sz="4" w:space="0"/>
            </w:tcBorders>
            <w:noWrap w:val="0"/>
            <w:vAlign w:val="top"/>
          </w:tcPr>
          <w:p w14:paraId="0D497280">
            <w:pPr>
              <w:spacing w:before="2" w:line="293" w:lineRule="auto"/>
              <w:ind w:left="120" w:right="106" w:hanging="9"/>
              <w:rPr>
                <w:rFonts w:eastAsia="宋体" w:cs="Times New Roman"/>
              </w:rPr>
            </w:pPr>
          </w:p>
          <w:p w14:paraId="668744D3">
            <w:pPr>
              <w:spacing w:before="2" w:line="293" w:lineRule="auto"/>
              <w:ind w:right="106"/>
              <w:rPr>
                <w:rFonts w:eastAsia="宋体" w:cs="Times New Roman"/>
              </w:rPr>
            </w:pPr>
          </w:p>
          <w:p w14:paraId="18B0F941">
            <w:pPr>
              <w:spacing w:before="2" w:line="293" w:lineRule="auto"/>
              <w:ind w:left="120" w:right="106" w:hanging="9"/>
              <w:rPr>
                <w:rFonts w:eastAsia="宋体" w:cs="Times New Roman"/>
              </w:rPr>
            </w:pPr>
            <w:r>
              <w:rPr>
                <w:rFonts w:eastAsia="宋体" w:cs="Times New Roman"/>
              </w:rPr>
              <w:t>质量保证</w:t>
            </w:r>
          </w:p>
          <w:p w14:paraId="38549730">
            <w:pPr>
              <w:spacing w:before="2" w:line="293" w:lineRule="auto"/>
              <w:ind w:left="120" w:right="106" w:hanging="9"/>
              <w:rPr>
                <w:rFonts w:eastAsia="宋体" w:cs="Times New Roman"/>
              </w:rPr>
            </w:pPr>
            <w:r>
              <w:rPr>
                <w:rFonts w:eastAsia="宋体" w:cs="Times New Roman"/>
              </w:rPr>
              <w:t>和质量违</w:t>
            </w:r>
          </w:p>
          <w:p w14:paraId="77BB03EB">
            <w:pPr>
              <w:spacing w:before="2" w:line="293" w:lineRule="auto"/>
              <w:ind w:left="120" w:right="106" w:hanging="9"/>
              <w:rPr>
                <w:rFonts w:eastAsia="宋体" w:cs="Times New Roman"/>
              </w:rPr>
            </w:pPr>
            <w:r>
              <w:rPr>
                <w:rFonts w:eastAsia="宋体" w:cs="Times New Roman"/>
              </w:rPr>
              <w:t>约责任承</w:t>
            </w:r>
          </w:p>
          <w:p w14:paraId="7162EE22">
            <w:pPr>
              <w:spacing w:before="2" w:line="293" w:lineRule="auto"/>
              <w:ind w:left="120" w:right="106" w:hanging="9"/>
              <w:rPr>
                <w:rFonts w:eastAsia="宋体" w:cs="Times New Roman"/>
              </w:rPr>
            </w:pPr>
            <w:r>
              <w:rPr>
                <w:rFonts w:eastAsia="宋体" w:cs="Times New Roman"/>
              </w:rPr>
              <w:t>诺</w:t>
            </w:r>
          </w:p>
        </w:tc>
        <w:tc>
          <w:tcPr>
            <w:tcW w:w="650" w:type="dxa"/>
            <w:noWrap w:val="0"/>
            <w:vAlign w:val="top"/>
          </w:tcPr>
          <w:p w14:paraId="4CCF4B5F">
            <w:pPr>
              <w:spacing w:before="2" w:line="293" w:lineRule="auto"/>
              <w:ind w:left="120" w:right="106" w:hanging="9"/>
              <w:rPr>
                <w:rFonts w:eastAsia="宋体" w:cs="Times New Roman"/>
              </w:rPr>
            </w:pPr>
          </w:p>
          <w:p w14:paraId="74C8A0F0">
            <w:pPr>
              <w:spacing w:before="2" w:line="293" w:lineRule="auto"/>
              <w:ind w:left="120" w:right="106" w:hanging="9"/>
              <w:rPr>
                <w:rFonts w:eastAsia="宋体" w:cs="Times New Roman"/>
              </w:rPr>
            </w:pPr>
          </w:p>
          <w:p w14:paraId="1EF7F946">
            <w:pPr>
              <w:spacing w:before="2" w:line="293" w:lineRule="auto"/>
              <w:ind w:right="106"/>
              <w:rPr>
                <w:rFonts w:eastAsia="宋体" w:cs="Times New Roman"/>
              </w:rPr>
            </w:pPr>
          </w:p>
          <w:p w14:paraId="5AD8C74F">
            <w:pPr>
              <w:spacing w:before="2" w:line="293" w:lineRule="auto"/>
              <w:ind w:left="120" w:right="106" w:hanging="9"/>
              <w:rPr>
                <w:rFonts w:eastAsia="宋体" w:cs="Times New Roman"/>
              </w:rPr>
            </w:pPr>
            <w:r>
              <w:rPr>
                <w:rFonts w:eastAsia="宋体" w:cs="Times New Roman"/>
              </w:rPr>
              <w:t>10 分</w:t>
            </w:r>
          </w:p>
        </w:tc>
        <w:tc>
          <w:tcPr>
            <w:tcW w:w="6083" w:type="dxa"/>
            <w:noWrap w:val="0"/>
            <w:vAlign w:val="top"/>
          </w:tcPr>
          <w:p w14:paraId="759EBFC9">
            <w:pPr>
              <w:spacing w:before="2" w:line="293" w:lineRule="auto"/>
              <w:ind w:left="120" w:right="106" w:hanging="9"/>
            </w:pPr>
            <w:r>
              <w:rPr>
                <w:rFonts w:hint="eastAsia"/>
                <w:lang w:val="en-US" w:eastAsia="zh-CN"/>
              </w:rPr>
              <w:t>优：</w:t>
            </w:r>
            <w:r>
              <w:t xml:space="preserve">应用新技术、新工艺、新材料、新设备，针对项目实际提出先 进、可行、具体的保证措施。超过招标文件的质量要求。质量违 约责任承诺具体，经济赔偿最大；     </w:t>
            </w:r>
            <w:r>
              <w:rPr>
                <w:rFonts w:hint="eastAsia"/>
                <w:lang w:val="en-US" w:eastAsia="zh-CN"/>
              </w:rPr>
              <w:t>良：</w:t>
            </w:r>
            <w:r>
              <w:t xml:space="preserve">针对项目实际提出先进、可行、具体的保证措施。满足招标文件的质量要求。质量违约责任承诺具体，经济赔偿次大； </w:t>
            </w:r>
            <w:r>
              <w:rPr>
                <w:rFonts w:hint="eastAsia"/>
                <w:lang w:val="en-US" w:eastAsia="zh-CN"/>
              </w:rPr>
              <w:t xml:space="preserve">  中：</w:t>
            </w:r>
            <w:r>
              <w:t xml:space="preserve">具体措施可行。满足招标文件的质量要求。质量违约责任承诺具体；                                            </w:t>
            </w:r>
            <w:r>
              <w:rPr>
                <w:rFonts w:hint="eastAsia"/>
                <w:lang w:val="en-US" w:eastAsia="zh-CN"/>
              </w:rPr>
              <w:t>差：</w:t>
            </w:r>
            <w:r>
              <w:t>措施不具体。不满足招标文件的质量要求。质量违约责任承诺不具体。</w:t>
            </w:r>
          </w:p>
          <w:p w14:paraId="19F126D1">
            <w:pPr>
              <w:pStyle w:val="26"/>
              <w:ind w:left="0" w:leftChars="0" w:firstLine="0" w:firstLineChars="0"/>
            </w:pPr>
            <w:r>
              <w:rPr>
                <w:rFonts w:ascii="Calibri" w:hAnsi="Calibri" w:eastAsia="宋体" w:cs="Times New Roman"/>
                <w:kern w:val="2"/>
                <w:sz w:val="21"/>
                <w:szCs w:val="24"/>
                <w:lang w:val="en-US" w:eastAsia="zh-CN" w:bidi="ar-SA"/>
              </w:rPr>
              <w:t xml:space="preserve">（优 </w:t>
            </w:r>
            <w:r>
              <w:rPr>
                <w:rFonts w:hint="eastAsia" w:ascii="Calibri" w:hAnsi="Calibri" w:eastAsia="宋体" w:cs="Times New Roman"/>
                <w:kern w:val="2"/>
                <w:sz w:val="21"/>
                <w:szCs w:val="24"/>
                <w:lang w:val="en-US" w:eastAsia="zh-CN" w:bidi="ar-SA"/>
              </w:rPr>
              <w:t>10</w:t>
            </w:r>
            <w:r>
              <w:rPr>
                <w:rFonts w:ascii="Calibri" w:hAnsi="Calibri" w:eastAsia="宋体" w:cs="Times New Roman"/>
                <w:kern w:val="2"/>
                <w:sz w:val="21"/>
                <w:szCs w:val="24"/>
                <w:lang w:val="en-US" w:eastAsia="zh-CN" w:bidi="ar-SA"/>
              </w:rPr>
              <w:t xml:space="preserve">-8 分、良 </w:t>
            </w:r>
            <w:r>
              <w:rPr>
                <w:rFonts w:hint="eastAsia" w:ascii="Calibri" w:hAnsi="Calibri" w:eastAsia="宋体" w:cs="Times New Roman"/>
                <w:kern w:val="2"/>
                <w:sz w:val="21"/>
                <w:szCs w:val="24"/>
                <w:lang w:val="en-US" w:eastAsia="zh-CN" w:bidi="ar-SA"/>
              </w:rPr>
              <w:t>7</w:t>
            </w:r>
            <w:r>
              <w:rPr>
                <w:rFonts w:ascii="Calibri" w:hAnsi="Calibri" w:eastAsia="宋体"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5</w:t>
            </w:r>
            <w:r>
              <w:rPr>
                <w:rFonts w:ascii="Calibri" w:hAnsi="Calibri" w:eastAsia="宋体" w:cs="Times New Roman"/>
                <w:kern w:val="2"/>
                <w:sz w:val="21"/>
                <w:szCs w:val="24"/>
                <w:lang w:val="en-US" w:eastAsia="zh-CN" w:bidi="ar-SA"/>
              </w:rPr>
              <w:t xml:space="preserve">分、中 </w:t>
            </w:r>
            <w:r>
              <w:rPr>
                <w:rFonts w:hint="eastAsia" w:ascii="Calibri" w:hAnsi="Calibri" w:eastAsia="宋体" w:cs="Times New Roman"/>
                <w:kern w:val="2"/>
                <w:sz w:val="21"/>
                <w:szCs w:val="24"/>
                <w:lang w:val="en-US" w:eastAsia="zh-CN" w:bidi="ar-SA"/>
              </w:rPr>
              <w:t>4</w:t>
            </w:r>
            <w:r>
              <w:rPr>
                <w:rFonts w:ascii="Calibri" w:hAnsi="Calibri" w:eastAsia="宋体"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2</w:t>
            </w:r>
            <w:r>
              <w:rPr>
                <w:rFonts w:ascii="Calibri" w:hAnsi="Calibri" w:eastAsia="宋体" w:cs="Times New Roman"/>
                <w:kern w:val="2"/>
                <w:sz w:val="21"/>
                <w:szCs w:val="24"/>
                <w:lang w:val="en-US" w:eastAsia="zh-CN" w:bidi="ar-SA"/>
              </w:rPr>
              <w:t xml:space="preserve"> 分、差 </w:t>
            </w:r>
            <w:r>
              <w:rPr>
                <w:rFonts w:hint="eastAsia" w:ascii="Calibri" w:hAnsi="Calibri" w:eastAsia="宋体" w:cs="Times New Roman"/>
                <w:kern w:val="2"/>
                <w:sz w:val="21"/>
                <w:szCs w:val="24"/>
                <w:lang w:val="en-US" w:eastAsia="zh-CN" w:bidi="ar-SA"/>
              </w:rPr>
              <w:t>1</w:t>
            </w:r>
            <w:r>
              <w:rPr>
                <w:rFonts w:ascii="Calibri" w:hAnsi="Calibri" w:eastAsia="宋体"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0</w:t>
            </w:r>
            <w:r>
              <w:rPr>
                <w:rFonts w:ascii="Calibri" w:hAnsi="Calibri" w:eastAsia="宋体" w:cs="Times New Roman"/>
                <w:kern w:val="2"/>
                <w:sz w:val="21"/>
                <w:szCs w:val="24"/>
                <w:lang w:val="en-US" w:eastAsia="zh-CN" w:bidi="ar-SA"/>
              </w:rPr>
              <w:t>分）</w:t>
            </w:r>
          </w:p>
        </w:tc>
      </w:tr>
    </w:tbl>
    <w:p w14:paraId="132E37F0">
      <w:pPr>
        <w:pStyle w:val="4"/>
        <w:ind w:firstLine="0"/>
        <w:rPr>
          <w:rFonts w:hint="eastAsia" w:hAnsi="宋体" w:cs="宋体"/>
          <w:b/>
          <w:bCs/>
          <w:color w:val="auto"/>
          <w:szCs w:val="22"/>
          <w:highlight w:val="none"/>
        </w:rPr>
        <w:sectPr>
          <w:footerReference r:id="rId10" w:type="first"/>
          <w:footerReference r:id="rId8" w:type="default"/>
          <w:footerReference r:id="rId9" w:type="even"/>
          <w:pgSz w:w="11906" w:h="16838"/>
          <w:pgMar w:top="1440" w:right="1797" w:bottom="1440" w:left="1797" w:header="851" w:footer="992" w:gutter="0"/>
          <w:cols w:space="720" w:num="1"/>
          <w:docGrid w:type="linesAndChars" w:linePitch="312" w:charSpace="0"/>
        </w:sectPr>
      </w:pPr>
    </w:p>
    <w:p w14:paraId="5BAAA56E">
      <w:pPr>
        <w:pStyle w:val="4"/>
        <w:ind w:firstLine="0"/>
        <w:rPr>
          <w:rFonts w:hint="eastAsia" w:hAnsi="宋体" w:cs="宋体"/>
          <w:b/>
          <w:bCs/>
          <w:color w:val="auto"/>
          <w:szCs w:val="22"/>
          <w:highlight w:val="none"/>
        </w:rPr>
      </w:pPr>
    </w:p>
    <w:p w14:paraId="6E10EDBA">
      <w:pPr>
        <w:spacing w:before="0" w:line="240" w:lineRule="auto"/>
        <w:rPr>
          <w:rFonts w:hint="eastAsia" w:ascii="宋体" w:hAnsi="宋体" w:eastAsia="宋体" w:cs="宋体"/>
          <w:color w:val="auto"/>
          <w:sz w:val="24"/>
          <w:szCs w:val="24"/>
        </w:rPr>
      </w:pPr>
      <w:bookmarkStart w:id="265" w:name="_Toc518923106"/>
      <w:bookmarkStart w:id="266" w:name="_Toc46235126"/>
      <w:bookmarkStart w:id="267" w:name="_Toc216582812"/>
      <w:bookmarkStart w:id="268" w:name="_Toc7196"/>
      <w:r>
        <w:rPr>
          <w:rFonts w:hint="eastAsia" w:ascii="宋体" w:hAnsi="宋体" w:eastAsia="宋体" w:cs="宋体"/>
          <w:color w:val="auto"/>
          <w:sz w:val="24"/>
          <w:szCs w:val="24"/>
        </w:rPr>
        <w:t>备注:</w:t>
      </w:r>
    </w:p>
    <w:p w14:paraId="4DCEA31B">
      <w:pPr>
        <w:spacing w:before="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highlight w:val="none"/>
          <w:lang w:val="en-US" w:eastAsia="zh-CN"/>
        </w:rPr>
        <w:t>以上评审因素涉及的相关资料、证明等文件，须将原件扫描件上传至电子响应文件，否则不得分。</w:t>
      </w:r>
    </w:p>
    <w:p w14:paraId="1FDB252C">
      <w:pPr>
        <w:spacing w:before="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得分按评委打分的平均分计算，总得分四舍五入保留小数点后两位，按总得分由高到低进行排序</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rPr>
        <w:t>人。</w:t>
      </w:r>
    </w:p>
    <w:p w14:paraId="3EAB4AA8">
      <w:pPr>
        <w:numPr>
          <w:ilvl w:val="0"/>
          <w:numId w:val="0"/>
        </w:numPr>
        <w:spacing w:before="0"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若标段排名第一的</w:t>
      </w:r>
      <w:r>
        <w:rPr>
          <w:rFonts w:hint="eastAsia" w:ascii="宋体" w:hAnsi="宋体" w:eastAsia="宋体" w:cs="宋体"/>
          <w:color w:val="auto"/>
          <w:sz w:val="24"/>
          <w:szCs w:val="24"/>
          <w:lang w:eastAsia="zh-CN"/>
        </w:rPr>
        <w:t>成交候选人</w:t>
      </w:r>
      <w:r>
        <w:rPr>
          <w:rFonts w:hint="eastAsia" w:ascii="宋体" w:hAnsi="宋体" w:eastAsia="宋体" w:cs="宋体"/>
          <w:color w:val="auto"/>
          <w:sz w:val="24"/>
          <w:szCs w:val="24"/>
        </w:rPr>
        <w:t>放弃中标、因不可抗力提出不能履行合同，招标人可以确定报价排名第二的为</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，依次类推。</w:t>
      </w:r>
    </w:p>
    <w:p w14:paraId="6C853A3B">
      <w:pPr>
        <w:numPr>
          <w:ilvl w:val="0"/>
          <w:numId w:val="0"/>
        </w:numPr>
        <w:spacing w:before="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若出现其他异常情况，评标委员会有权集体决策定标；或废止本次招标，经监管部门同意，视情况另行招标。</w:t>
      </w:r>
    </w:p>
    <w:p w14:paraId="54B3FC70">
      <w:pPr>
        <w:spacing w:before="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、无论投标结果如何，采购人无向投标人解释其中标、未中标原因的义务；无论投标结果如何，投标人的</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均不退还；无论中标与否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已领取标书的投标人对</w:t>
      </w:r>
      <w:r>
        <w:rPr>
          <w:rFonts w:hint="eastAsia" w:ascii="宋体" w:hAnsi="宋体" w:eastAsia="宋体" w:cs="宋体"/>
          <w:color w:val="auto"/>
          <w:sz w:val="24"/>
          <w:szCs w:val="24"/>
          <w:lang w:eastAsia="zh-CN"/>
        </w:rPr>
        <w:t>磋商文件</w:t>
      </w:r>
      <w:r>
        <w:rPr>
          <w:rFonts w:hint="eastAsia" w:ascii="宋体" w:hAnsi="宋体" w:eastAsia="宋体" w:cs="宋体"/>
          <w:color w:val="auto"/>
          <w:sz w:val="24"/>
          <w:szCs w:val="24"/>
        </w:rPr>
        <w:t>负保密责任。</w:t>
      </w:r>
    </w:p>
    <w:p w14:paraId="0E374C49">
      <w:pPr>
        <w:spacing w:before="9" w:line="240" w:lineRule="auto"/>
        <w:rPr>
          <w:rFonts w:hint="eastAsia" w:ascii="宋体" w:hAnsi="宋体" w:eastAsia="宋体" w:cs="宋体"/>
          <w:b/>
          <w:bCs/>
          <w:color w:val="auto"/>
          <w:sz w:val="24"/>
          <w:highlight w:val="none"/>
        </w:rPr>
      </w:pPr>
    </w:p>
    <w:p w14:paraId="6503CD68">
      <w:pPr>
        <w:spacing w:before="9" w:line="240" w:lineRule="auto"/>
        <w:rPr>
          <w:rFonts w:hint="eastAsia" w:ascii="宋体" w:hAnsi="宋体" w:eastAsia="宋体" w:cs="宋体"/>
          <w:color w:val="auto"/>
          <w:sz w:val="29"/>
          <w:szCs w:val="29"/>
        </w:rPr>
      </w:pPr>
      <w:bookmarkStart w:id="269" w:name="32.关于投标人瑕疵滞后发现的处理规则"/>
      <w:bookmarkEnd w:id="269"/>
      <w:bookmarkStart w:id="270" w:name="32.关于投标人瑕疵滞后发现的处理规则"/>
      <w:bookmarkEnd w:id="270"/>
      <w:r>
        <w:rPr>
          <w:rFonts w:hint="eastAsia" w:ascii="宋体" w:hAnsi="宋体" w:eastAsia="宋体" w:cs="宋体"/>
          <w:b/>
          <w:bCs/>
          <w:color w:val="auto"/>
          <w:sz w:val="24"/>
          <w:highlight w:val="none"/>
        </w:rPr>
        <w:t>政府采购政策：</w:t>
      </w:r>
    </w:p>
    <w:p w14:paraId="63ED571E">
      <w:pPr>
        <w:tabs>
          <w:tab w:val="left" w:pos="0"/>
        </w:tabs>
        <w:topLinePunct/>
        <w:spacing w:line="360" w:lineRule="exact"/>
        <w:ind w:firstLine="480" w:firstLineChars="200"/>
        <w:jc w:val="left"/>
        <w:rPr>
          <w:rFonts w:hint="eastAsia" w:ascii="宋体" w:hAnsi="宋体" w:eastAsia="宋体" w:cs="宋体"/>
          <w:color w:val="auto"/>
          <w:sz w:val="24"/>
          <w:highlight w:val="none"/>
          <w:lang w:eastAsia="zh-CN"/>
        </w:rPr>
      </w:pPr>
      <w:bookmarkStart w:id="271" w:name="第6章响应文件格式"/>
      <w:bookmarkEnd w:id="271"/>
      <w:r>
        <w:rPr>
          <w:rFonts w:hint="eastAsia" w:ascii="宋体" w:hAnsi="宋体" w:eastAsia="宋体" w:cs="宋体"/>
          <w:color w:val="auto"/>
          <w:sz w:val="24"/>
          <w:highlight w:val="none"/>
        </w:rPr>
        <w:t>（1）根据《政府采购促进中小企业发展管理办法》（财库[2020]46号）文件规定，对小微企业报价给予</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%的扣除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用扣除后的价格参加评审：</w:t>
      </w:r>
      <w:r>
        <w:rPr>
          <w:rFonts w:hint="eastAsia" w:ascii="宋体" w:hAnsi="宋体" w:eastAsia="宋体" w:cs="宋体"/>
          <w:b/>
          <w:bCs/>
          <w:color w:val="auto"/>
          <w:sz w:val="24"/>
          <w:highlight w:val="none"/>
          <w:lang w:eastAsia="zh-CN"/>
        </w:rPr>
        <w:t>（本项目为面向中小微企业采购项目，不再对中小微企业进行价格优惠）</w:t>
      </w:r>
    </w:p>
    <w:p w14:paraId="45B727FC">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小微企业价格扣除=小微企业报价×</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w:t>
      </w:r>
    </w:p>
    <w:p w14:paraId="10AB7FD0">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小微企业评审价格=总报价-小微企业价格扣除。</w:t>
      </w:r>
    </w:p>
    <w:p w14:paraId="7211E65A">
      <w:pPr>
        <w:tabs>
          <w:tab w:val="left" w:pos="0"/>
        </w:tabs>
        <w:topLinePunct/>
        <w:spacing w:line="360" w:lineRule="exact"/>
        <w:ind w:firstLine="480" w:firstLineChars="200"/>
        <w:jc w:val="left"/>
        <w:rPr>
          <w:rFonts w:hint="eastAsia" w:ascii="宋体" w:hAnsi="宋体" w:eastAsia="宋体" w:cs="宋体"/>
          <w:b/>
          <w:bCs/>
          <w:color w:val="auto"/>
          <w:sz w:val="24"/>
          <w:highlight w:val="none"/>
        </w:rPr>
      </w:pPr>
      <w:bookmarkStart w:id="272" w:name="_Toc19057_WPSOffice_Level2"/>
      <w:r>
        <w:rPr>
          <w:rFonts w:hint="eastAsia" w:ascii="宋体" w:hAnsi="宋体" w:eastAsia="宋体" w:cs="宋体"/>
          <w:b/>
          <w:bCs/>
          <w:color w:val="auto"/>
          <w:sz w:val="24"/>
          <w:highlight w:val="none"/>
        </w:rPr>
        <w:t>注：1.</w:t>
      </w:r>
      <w:r>
        <w:rPr>
          <w:rFonts w:hint="eastAsia" w:ascii="宋体" w:hAnsi="宋体" w:eastAsia="宋体" w:cs="宋体"/>
          <w:b/>
          <w:color w:val="auto"/>
          <w:sz w:val="24"/>
          <w:highlight w:val="none"/>
        </w:rPr>
        <w:t>小微企业，是指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微企业；</w:t>
      </w:r>
      <w:r>
        <w:rPr>
          <w:rFonts w:hint="eastAsia" w:ascii="宋体" w:hAnsi="宋体" w:eastAsia="宋体" w:cs="宋体"/>
          <w:b/>
          <w:bCs/>
          <w:color w:val="auto"/>
          <w:sz w:val="24"/>
          <w:highlight w:val="none"/>
        </w:rPr>
        <w:t>2.供应商提供的工程由小微企业承建，即工程施工单位为小微企业。3.小微企业参加政府采购活动，应当出具《中小企业声明函》，否则不得享受相关中小企业扶持政策；</w:t>
      </w:r>
      <w:r>
        <w:rPr>
          <w:rFonts w:hint="eastAsia" w:ascii="宋体" w:hAnsi="宋体" w:eastAsia="宋体" w:cs="宋体"/>
          <w:b/>
          <w:color w:val="auto"/>
          <w:sz w:val="24"/>
          <w:highlight w:val="none"/>
        </w:rPr>
        <w:t>4.成交供应商享受中小企业扶持政策的，采购人、采购代理机构应当随成交结果公开成交供应商的《中小企业声明函》；5.供应商提供声明函内容不实的，属于提供虚假材料谋取成交，依照《中华人民共和国政府采购法》等国家有关规定追究相应责任。</w:t>
      </w:r>
    </w:p>
    <w:p w14:paraId="28848975">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（2）根</w:t>
      </w:r>
      <w:bookmarkEnd w:id="272"/>
      <w:r>
        <w:rPr>
          <w:rFonts w:hint="eastAsia" w:ascii="宋体" w:hAnsi="宋体" w:eastAsia="宋体" w:cs="宋体"/>
          <w:color w:val="auto"/>
          <w:sz w:val="24"/>
          <w:highlight w:val="none"/>
        </w:rPr>
        <w:t>据《</w:t>
      </w:r>
      <w:bookmarkStart w:id="273" w:name="_Toc15602_WPSOffice_Level2"/>
      <w:r>
        <w:rPr>
          <w:rFonts w:hint="eastAsia" w:ascii="宋体" w:hAnsi="宋体" w:eastAsia="宋体" w:cs="宋体"/>
          <w:color w:val="auto"/>
          <w:sz w:val="24"/>
          <w:highlight w:val="none"/>
        </w:rPr>
        <w:t>财政部、</w:t>
      </w:r>
      <w:bookmarkEnd w:id="273"/>
      <w:r>
        <w:rPr>
          <w:rFonts w:hint="eastAsia" w:ascii="宋体" w:hAnsi="宋体" w:eastAsia="宋体" w:cs="宋体"/>
          <w:color w:val="auto"/>
          <w:sz w:val="24"/>
          <w:highlight w:val="none"/>
        </w:rPr>
        <w:t>司法部关</w:t>
      </w:r>
      <w:bookmarkStart w:id="274" w:name="_Toc26370_WPSOffice_Level2"/>
      <w:r>
        <w:rPr>
          <w:rFonts w:hint="eastAsia" w:ascii="宋体" w:hAnsi="宋体" w:eastAsia="宋体" w:cs="宋体"/>
          <w:color w:val="auto"/>
          <w:sz w:val="24"/>
          <w:highlight w:val="none"/>
        </w:rPr>
        <w:t>于政府采购</w:t>
      </w:r>
      <w:bookmarkEnd w:id="274"/>
      <w:r>
        <w:rPr>
          <w:rFonts w:hint="eastAsia" w:ascii="宋体" w:hAnsi="宋体" w:eastAsia="宋体" w:cs="宋体"/>
          <w:color w:val="auto"/>
          <w:sz w:val="24"/>
          <w:highlight w:val="none"/>
        </w:rPr>
        <w:t>支持监狱企业发展有关问题的通知》（财库[2014]68号）文件规定，监狱企业视同小型、微型企业，享受预留份额、评审中价格扣除等政府采购</w:t>
      </w:r>
      <w:bookmarkStart w:id="275" w:name="_Toc32713_WPSOffice_Level2"/>
      <w:r>
        <w:rPr>
          <w:rFonts w:hint="eastAsia" w:ascii="宋体" w:hAnsi="宋体" w:eastAsia="宋体" w:cs="宋体"/>
          <w:color w:val="auto"/>
          <w:sz w:val="24"/>
          <w:highlight w:val="none"/>
        </w:rPr>
        <w:t>促进中小企</w:t>
      </w:r>
      <w:bookmarkEnd w:id="275"/>
      <w:r>
        <w:rPr>
          <w:rFonts w:hint="eastAsia" w:ascii="宋体" w:hAnsi="宋体" w:eastAsia="宋体" w:cs="宋体"/>
          <w:color w:val="auto"/>
          <w:sz w:val="24"/>
          <w:highlight w:val="none"/>
        </w:rPr>
        <w:t>业发展的政府采购政策。在政府采购活动中，对监狱企业报价给予</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%的扣除，用扣除后的价格参加评审：</w:t>
      </w:r>
    </w:p>
    <w:p w14:paraId="7B4654CD">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监狱企业价格扣除=监狱企业报价×</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w:t>
      </w:r>
    </w:p>
    <w:p w14:paraId="6556D716">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监狱企业评审价格=总报价-监狱企业价格扣除。</w:t>
      </w:r>
    </w:p>
    <w:p w14:paraId="535F6F4C">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注：1.根据山东省财政厅、山东省司法厅关于《转发财政部、司法部</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关于政府采购支持监狱企业发展有关问题的通知]的通知》（鲁财采[2014]33号）文件规定，监狱企业参加政府采购活动时提供制服、消防设备和特种车辆，在项目评审时，对其产品给予</w:t>
      </w:r>
      <w:r>
        <w:rPr>
          <w:rFonts w:hint="eastAsia" w:ascii="宋体" w:hAnsi="宋体" w:cs="宋体"/>
          <w:b/>
          <w:bCs/>
          <w:color w:val="auto"/>
          <w:sz w:val="24"/>
          <w:highlight w:val="none"/>
          <w:lang w:val="en-US" w:eastAsia="zh-CN"/>
        </w:rPr>
        <w:t>5</w:t>
      </w:r>
      <w:r>
        <w:rPr>
          <w:rFonts w:hint="eastAsia" w:ascii="宋体" w:hAnsi="宋体" w:eastAsia="宋体" w:cs="宋体"/>
          <w:b/>
          <w:bCs/>
          <w:color w:val="auto"/>
          <w:sz w:val="24"/>
          <w:highlight w:val="none"/>
        </w:rPr>
        <w:t>%的价格扣除；2.监狱企业参加政府采购活动时，应当提供由省级以上监狱管理局、戒毒管理局（含新疆生产建设兵团）出具的属于监狱企业的证明文件原件，否则不给予价格扣除；3.监狱企业属于小型、微型企业的，不重复享受政策。</w:t>
      </w:r>
    </w:p>
    <w:p w14:paraId="67D4E69C">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（3）根据《财政部民政部中国残疾人联合会关于促进残疾人就业政府采购政策的通知</w:t>
      </w:r>
      <w:bookmarkStart w:id="276" w:name="_Toc23937_WPSOffice_Level2"/>
      <w:r>
        <w:rPr>
          <w:rFonts w:hint="eastAsia" w:ascii="宋体" w:hAnsi="宋体" w:eastAsia="宋体" w:cs="宋体"/>
          <w:color w:val="auto"/>
          <w:sz w:val="24"/>
          <w:highlight w:val="none"/>
        </w:rPr>
        <w:t>》（财库[2017]14</w:t>
      </w:r>
      <w:bookmarkEnd w:id="276"/>
      <w:r>
        <w:rPr>
          <w:rFonts w:hint="eastAsia" w:ascii="宋体" w:hAnsi="宋体" w:eastAsia="宋体" w:cs="宋体"/>
          <w:color w:val="auto"/>
          <w:sz w:val="24"/>
          <w:highlight w:val="none"/>
        </w:rPr>
        <w:t>1号）文件规定，残疾人福利性单位视同小型、微型企业，享受预留份额、评审中价格扣除等促进中</w:t>
      </w:r>
      <w:bookmarkStart w:id="277" w:name="_Toc17762_WPSOffice_Level2"/>
      <w:r>
        <w:rPr>
          <w:rFonts w:hint="eastAsia" w:ascii="宋体" w:hAnsi="宋体" w:eastAsia="宋体" w:cs="宋体"/>
          <w:color w:val="auto"/>
          <w:sz w:val="24"/>
          <w:highlight w:val="none"/>
        </w:rPr>
        <w:t>小企业发展的政府采购政策。在政府采购活动</w:t>
      </w:r>
      <w:bookmarkEnd w:id="277"/>
      <w:r>
        <w:rPr>
          <w:rFonts w:hint="eastAsia" w:ascii="宋体" w:hAnsi="宋体" w:eastAsia="宋体" w:cs="宋体"/>
          <w:color w:val="auto"/>
          <w:sz w:val="24"/>
          <w:highlight w:val="none"/>
        </w:rPr>
        <w:t>中，对残疾人福利性单位报价给予</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%的扣除，用扣除后的价格参加评审：</w:t>
      </w:r>
    </w:p>
    <w:p w14:paraId="62EE5ED3">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残疾人福利性单位价格扣除=残疾人福</w:t>
      </w:r>
      <w:bookmarkStart w:id="278" w:name="_Toc24337_WPSOffice_Level2"/>
      <w:r>
        <w:rPr>
          <w:rFonts w:hint="eastAsia" w:ascii="宋体" w:hAnsi="宋体" w:eastAsia="宋体" w:cs="宋体"/>
          <w:color w:val="auto"/>
          <w:sz w:val="24"/>
          <w:highlight w:val="none"/>
        </w:rPr>
        <w:t>利性单位</w:t>
      </w:r>
      <w:bookmarkEnd w:id="278"/>
      <w:r>
        <w:rPr>
          <w:rFonts w:hint="eastAsia" w:ascii="宋体" w:hAnsi="宋体" w:eastAsia="宋体" w:cs="宋体"/>
          <w:color w:val="auto"/>
          <w:sz w:val="24"/>
          <w:highlight w:val="none"/>
        </w:rPr>
        <w:t>报价×</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w:t>
      </w:r>
    </w:p>
    <w:p w14:paraId="38DB8B10">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残疾人福利性单位评审价格=总报价-残疾人福利性单位价格扣除。</w:t>
      </w:r>
    </w:p>
    <w:p w14:paraId="10942B27">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注</w:t>
      </w:r>
      <w:bookmarkStart w:id="279" w:name="_Toc24768_WPSOffice_Level2"/>
      <w:r>
        <w:rPr>
          <w:rFonts w:hint="eastAsia" w:ascii="宋体" w:hAnsi="宋体" w:eastAsia="宋体" w:cs="宋体"/>
          <w:b/>
          <w:bCs/>
          <w:color w:val="auto"/>
          <w:sz w:val="24"/>
          <w:highlight w:val="none"/>
        </w:rPr>
        <w:t>：1.残疾人</w:t>
      </w:r>
      <w:bookmarkEnd w:id="279"/>
      <w:r>
        <w:rPr>
          <w:rFonts w:hint="eastAsia" w:ascii="宋体" w:hAnsi="宋体" w:eastAsia="宋体" w:cs="宋体"/>
          <w:b/>
          <w:bCs/>
          <w:color w:val="auto"/>
          <w:sz w:val="24"/>
          <w:highlight w:val="none"/>
        </w:rPr>
        <w:t>福利性单位在参加政府采购活动时，应当提供《残疾人福利性单位声明函》（见附件），否则不给予价格</w:t>
      </w:r>
      <w:bookmarkStart w:id="280" w:name="_Toc26478_WPSOffice_Level2"/>
      <w:r>
        <w:rPr>
          <w:rFonts w:hint="eastAsia" w:ascii="宋体" w:hAnsi="宋体" w:eastAsia="宋体" w:cs="宋体"/>
          <w:b/>
          <w:bCs/>
          <w:color w:val="auto"/>
          <w:sz w:val="24"/>
          <w:highlight w:val="none"/>
        </w:rPr>
        <w:t>扣除；2.残</w:t>
      </w:r>
      <w:bookmarkEnd w:id="280"/>
      <w:r>
        <w:rPr>
          <w:rFonts w:hint="eastAsia" w:ascii="宋体" w:hAnsi="宋体" w:eastAsia="宋体" w:cs="宋体"/>
          <w:b/>
          <w:bCs/>
          <w:color w:val="auto"/>
          <w:sz w:val="24"/>
          <w:highlight w:val="none"/>
        </w:rPr>
        <w:t>疾人福利性单位属于小型、微型企业的，不重复享受政策；3.成交供应商为残疾人福利性单位的，采购人或者其委托的采购代理机构应当随成交结果同时公告其《残疾人福利性单位声明函》，接受社会监督。供应商提供的《残疾人福利性单位声明函》与事实</w:t>
      </w:r>
      <w:bookmarkStart w:id="281" w:name="_Toc2155_WPSOffice_Level2"/>
      <w:r>
        <w:rPr>
          <w:rFonts w:hint="eastAsia" w:ascii="宋体" w:hAnsi="宋体" w:eastAsia="宋体" w:cs="宋体"/>
          <w:b/>
          <w:bCs/>
          <w:color w:val="auto"/>
          <w:sz w:val="24"/>
          <w:highlight w:val="none"/>
        </w:rPr>
        <w:t>不符的，</w:t>
      </w:r>
      <w:bookmarkEnd w:id="281"/>
      <w:r>
        <w:rPr>
          <w:rFonts w:hint="eastAsia" w:ascii="宋体" w:hAnsi="宋体" w:eastAsia="宋体" w:cs="宋体"/>
          <w:b/>
          <w:bCs/>
          <w:color w:val="auto"/>
          <w:sz w:val="24"/>
          <w:highlight w:val="none"/>
        </w:rPr>
        <w:t>依照《中华人民共和国政府采购法》第七十七条第一款的规定追究法律责任</w:t>
      </w:r>
      <w:bookmarkStart w:id="282" w:name="_Toc15822_WPSOffice_Level2"/>
      <w:r>
        <w:rPr>
          <w:rFonts w:hint="eastAsia" w:ascii="宋体" w:hAnsi="宋体" w:eastAsia="宋体" w:cs="宋体"/>
          <w:b/>
          <w:bCs/>
          <w:color w:val="auto"/>
          <w:sz w:val="24"/>
          <w:highlight w:val="none"/>
        </w:rPr>
        <w:t>。</w:t>
      </w:r>
    </w:p>
    <w:p w14:paraId="4C399282">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bookmarkEnd w:id="282"/>
      <w:r>
        <w:rPr>
          <w:rFonts w:hint="eastAsia" w:ascii="宋体" w:hAnsi="宋体" w:eastAsia="宋体" w:cs="宋体"/>
          <w:color w:val="auto"/>
          <w:sz w:val="24"/>
          <w:highlight w:val="none"/>
        </w:rPr>
        <w:t>）根据《节能产品政</w:t>
      </w:r>
      <w:bookmarkStart w:id="283" w:name="_Toc28228_WPSOffice_Level2"/>
      <w:r>
        <w:rPr>
          <w:rFonts w:hint="eastAsia" w:ascii="宋体" w:hAnsi="宋体" w:eastAsia="宋体" w:cs="宋体"/>
          <w:color w:val="auto"/>
          <w:sz w:val="24"/>
          <w:highlight w:val="none"/>
        </w:rPr>
        <w:t>府采购实施意</w:t>
      </w:r>
      <w:bookmarkEnd w:id="283"/>
      <w:r>
        <w:rPr>
          <w:rFonts w:hint="eastAsia" w:ascii="宋体" w:hAnsi="宋体" w:eastAsia="宋体" w:cs="宋体"/>
          <w:color w:val="auto"/>
          <w:sz w:val="24"/>
          <w:highlight w:val="none"/>
        </w:rPr>
        <w:t>见》（财库[2004]185号）、《关于环境标志产品政府采购实施的意见》（财库[2006]90号）、《财政部发展改革委生态环境部市场监管总局关于调整优化节能产品、环境标志产品政府采购执行机制的通知》（财库[2019]9号）、《财政部生态环境部关于印发环境标</w:t>
      </w:r>
      <w:bookmarkStart w:id="284" w:name="_Toc24050_WPSOffice_Level2"/>
      <w:r>
        <w:rPr>
          <w:rFonts w:hint="eastAsia" w:ascii="宋体" w:hAnsi="宋体" w:eastAsia="宋体" w:cs="宋体"/>
          <w:color w:val="auto"/>
          <w:sz w:val="24"/>
          <w:highlight w:val="none"/>
        </w:rPr>
        <w:t>志产品政府采</w:t>
      </w:r>
      <w:bookmarkEnd w:id="284"/>
      <w:r>
        <w:rPr>
          <w:rFonts w:hint="eastAsia" w:ascii="宋体" w:hAnsi="宋体" w:eastAsia="宋体" w:cs="宋体"/>
          <w:color w:val="auto"/>
          <w:sz w:val="24"/>
          <w:highlight w:val="none"/>
        </w:rPr>
        <w:t>购品目清单的通知》（财库[2019]18号</w:t>
      </w:r>
      <w:bookmarkStart w:id="285" w:name="_Toc29416_WPSOffice_Level2"/>
      <w:r>
        <w:rPr>
          <w:rFonts w:hint="eastAsia" w:ascii="宋体" w:hAnsi="宋体" w:eastAsia="宋体" w:cs="宋体"/>
          <w:color w:val="auto"/>
          <w:sz w:val="24"/>
          <w:highlight w:val="none"/>
        </w:rPr>
        <w:t>）、《财政部</w:t>
      </w:r>
      <w:bookmarkEnd w:id="285"/>
      <w:r>
        <w:rPr>
          <w:rFonts w:hint="eastAsia" w:ascii="宋体" w:hAnsi="宋体" w:eastAsia="宋体" w:cs="宋体"/>
          <w:color w:val="auto"/>
          <w:sz w:val="24"/>
          <w:highlight w:val="none"/>
        </w:rPr>
        <w:t>发展改革委关于印发节能产品政府采购品目清单的通知》（财库[2019]19号）文件规定，政府采购属于节能清单中产品时，在技术、服务等指标同等条件下，应当优先采购节能清单所列的节能产品。采购人采购的产品属于环境标志产品政府采购清单中品目的，在性能、技术、服务等指标同等条件下，应当优先采购环境标志产品政府采购清单中的产品。对于同时列入环保清单和节能产品政府采购清单的产品，应当优先于只列入其中一个清单的产品。</w:t>
      </w:r>
    </w:p>
    <w:p w14:paraId="1BF460CF">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（5）根据《国务院办公厅关于建立政府采购强制采购节能产品制度的通知》（国办发[2007]51号）文件、《财政部 发展改革委生态环境部市场监管总局关于调整优化节能产品环境标志产品政府采购执行机制的通知》（财库[2019]9号）、《财政部发展改革委关于印发节能产品政府采购品目清单的通知》（财库[2019]19号）文件规定，节能清单所列产品包括政府强制采购和优先采购的节能产品。其中，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具体品目以“★”标注)。其他品目为政府优先采购的节能产品。</w:t>
      </w:r>
    </w:p>
    <w:p w14:paraId="3C2BC088">
      <w:pPr>
        <w:tabs>
          <w:tab w:val="left" w:pos="0"/>
        </w:tabs>
        <w:topLinePunct/>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（6）根据《山东省节能环保产品政府采购评审办法》（鲁财库[2007]32号）文件规定，对节能、环保产品评审时加分：</w:t>
      </w:r>
    </w:p>
    <w:p w14:paraId="5DCDE1A2">
      <w:pPr>
        <w:tabs>
          <w:tab w:val="left" w:pos="0"/>
        </w:tabs>
        <w:adjustRightInd w:val="0"/>
        <w:snapToGrid w:val="0"/>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节能产品加分=技术加分+报价加分=（节能产品报价之和÷报价）×4%×技术部分总分值+（节能产品报价之和÷报价）×4%×价格部分总分值。</w:t>
      </w:r>
    </w:p>
    <w:p w14:paraId="412F9FC6">
      <w:pPr>
        <w:tabs>
          <w:tab w:val="left" w:pos="0"/>
        </w:tabs>
        <w:adjustRightInd w:val="0"/>
        <w:snapToGrid w:val="0"/>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其中节能产品报价中不含强制性节能产品的报价。</w:t>
      </w:r>
    </w:p>
    <w:p w14:paraId="187A4949">
      <w:pPr>
        <w:tabs>
          <w:tab w:val="left" w:pos="0"/>
        </w:tabs>
        <w:adjustRightInd w:val="0"/>
        <w:snapToGrid w:val="0"/>
        <w:spacing w:line="3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环保产品加分=技术加分+报价加分=（环保产品报价之和÷报价）×4%×技术部分总分值+（环保产品报价之和÷报价）×4%×价格部分总分值。</w:t>
      </w:r>
    </w:p>
    <w:p w14:paraId="2193F359">
      <w:pPr>
        <w:spacing w:before="5" w:line="24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注：1.节能产品是指列入财政部、发展改革委制定的《节能产品政府采购</w:t>
      </w:r>
      <w:bookmarkStart w:id="286" w:name="_Toc4832_WPSOffice_Level2"/>
      <w:r>
        <w:rPr>
          <w:rFonts w:hint="eastAsia" w:ascii="宋体" w:hAnsi="宋体" w:eastAsia="宋体" w:cs="宋体"/>
          <w:b/>
          <w:bCs/>
          <w:color w:val="auto"/>
          <w:sz w:val="24"/>
          <w:highlight w:val="none"/>
        </w:rPr>
        <w:t>品目清单》范围</w:t>
      </w:r>
      <w:bookmarkEnd w:id="286"/>
      <w:r>
        <w:rPr>
          <w:rFonts w:hint="eastAsia" w:ascii="宋体" w:hAnsi="宋体" w:eastAsia="宋体" w:cs="宋体"/>
          <w:b/>
          <w:bCs/>
          <w:color w:val="auto"/>
          <w:sz w:val="24"/>
          <w:highlight w:val="none"/>
        </w:rPr>
        <w:t>的产品；环保产品是指列入财政部、生态环境部制定的《环境标志产品政府采购品目清单》范围的产品；2.产品是否属于享受政府采购政策的上述类</w:t>
      </w:r>
      <w:bookmarkStart w:id="287" w:name="_Toc17013_WPSOffice_Level2"/>
      <w:r>
        <w:rPr>
          <w:rFonts w:hint="eastAsia" w:ascii="宋体" w:hAnsi="宋体" w:eastAsia="宋体" w:cs="宋体"/>
          <w:b/>
          <w:bCs/>
          <w:color w:val="auto"/>
          <w:sz w:val="24"/>
          <w:highlight w:val="none"/>
        </w:rPr>
        <w:t>型，</w:t>
      </w:r>
      <w:bookmarkEnd w:id="287"/>
      <w:r>
        <w:rPr>
          <w:rFonts w:hint="eastAsia" w:ascii="宋体" w:hAnsi="宋体" w:eastAsia="宋体" w:cs="宋体"/>
          <w:b/>
          <w:bCs/>
          <w:color w:val="auto"/>
          <w:sz w:val="24"/>
          <w:highlight w:val="none"/>
        </w:rPr>
        <w:t>依据国家确定的认证机构出具的处于有效期之内的中国节能产品认证证书、中国环境标志产品认证证书并附相关认证信息截图或具体查询网址，对获得证书的产品实施政府优先采购或强制采购。以上证书以原件</w:t>
      </w:r>
      <w:r>
        <w:rPr>
          <w:rFonts w:hint="eastAsia" w:ascii="宋体" w:hAnsi="宋体" w:eastAsia="宋体" w:cs="宋体"/>
          <w:b/>
          <w:bCs/>
          <w:color w:val="auto"/>
          <w:sz w:val="24"/>
          <w:highlight w:val="none"/>
          <w:lang w:eastAsia="zh-CN"/>
        </w:rPr>
        <w:t>扫描件</w:t>
      </w:r>
      <w:r>
        <w:rPr>
          <w:rFonts w:hint="eastAsia" w:ascii="宋体" w:hAnsi="宋体" w:eastAsia="宋体" w:cs="宋体"/>
          <w:b/>
          <w:bCs/>
          <w:color w:val="auto"/>
          <w:sz w:val="24"/>
          <w:highlight w:val="none"/>
        </w:rPr>
        <w:t>为准，超过认证证书有效截止日期的自动失效。</w:t>
      </w:r>
    </w:p>
    <w:p w14:paraId="1873C9B5">
      <w:pPr>
        <w:pStyle w:val="25"/>
        <w:rPr>
          <w:rFonts w:hint="eastAsia" w:ascii="宋体" w:hAnsi="宋体" w:eastAsia="宋体" w:cs="宋体"/>
          <w:b/>
          <w:bCs/>
          <w:color w:val="auto"/>
          <w:sz w:val="24"/>
          <w:highlight w:val="none"/>
        </w:rPr>
      </w:pPr>
    </w:p>
    <w:p w14:paraId="2DFC6DEE">
      <w:pPr>
        <w:rPr>
          <w:rFonts w:hint="eastAsia" w:hAnsi="宋体" w:cs="宋体"/>
          <w:color w:val="auto"/>
          <w:highlight w:val="none"/>
        </w:rPr>
      </w:pPr>
    </w:p>
    <w:p w14:paraId="718B3DBE">
      <w:pPr>
        <w:pStyle w:val="2"/>
        <w:keepNext/>
        <w:keepLines/>
        <w:pageBreakBefore w:val="0"/>
        <w:widowControl w:val="0"/>
        <w:kinsoku/>
        <w:wordWrap/>
        <w:overflowPunct/>
        <w:topLinePunct w:val="0"/>
        <w:autoSpaceDE w:val="0"/>
        <w:autoSpaceDN w:val="0"/>
        <w:bidi w:val="0"/>
        <w:adjustRightInd w:val="0"/>
        <w:snapToGrid/>
        <w:spacing w:line="360" w:lineRule="auto"/>
        <w:ind w:left="0" w:hanging="822" w:hangingChars="257"/>
        <w:textAlignment w:val="auto"/>
        <w:outlineLvl w:val="0"/>
        <w:rPr>
          <w:rFonts w:hint="eastAsia" w:hAnsi="宋体" w:cs="宋体"/>
          <w:color w:val="auto"/>
          <w:highlight w:val="none"/>
        </w:rPr>
      </w:pPr>
      <w:r>
        <w:rPr>
          <w:rFonts w:hint="eastAsia" w:hAnsi="宋体" w:cs="宋体"/>
          <w:color w:val="auto"/>
          <w:highlight w:val="none"/>
        </w:rPr>
        <w:br w:type="page"/>
      </w:r>
      <w:bookmarkStart w:id="288" w:name="_Toc16206"/>
      <w:r>
        <w:rPr>
          <w:rFonts w:hint="eastAsia" w:hAnsi="宋体" w:cs="宋体"/>
          <w:color w:val="auto"/>
          <w:highlight w:val="none"/>
        </w:rPr>
        <w:t>第6章响应文件格式</w:t>
      </w:r>
      <w:bookmarkEnd w:id="265"/>
      <w:bookmarkEnd w:id="266"/>
      <w:bookmarkEnd w:id="267"/>
      <w:bookmarkEnd w:id="268"/>
      <w:bookmarkEnd w:id="288"/>
      <w:bookmarkStart w:id="289" w:name="_Toc46235127"/>
      <w:bookmarkStart w:id="290" w:name="_Toc56"/>
    </w:p>
    <w:p w14:paraId="7F027187">
      <w:pPr>
        <w:pStyle w:val="3"/>
        <w:spacing w:line="360" w:lineRule="auto"/>
        <w:ind w:left="774" w:hanging="771" w:hangingChars="257"/>
        <w:rPr>
          <w:rFonts w:hint="eastAsia" w:ascii="宋体" w:hAnsi="宋体" w:eastAsia="宋体" w:cs="宋体"/>
          <w:color w:val="auto"/>
          <w:highlight w:val="none"/>
        </w:rPr>
      </w:pPr>
      <w:r>
        <w:rPr>
          <w:rFonts w:hint="eastAsia" w:ascii="宋体" w:hAnsi="宋体" w:eastAsia="宋体" w:cs="宋体"/>
          <w:color w:val="auto"/>
          <w:highlight w:val="none"/>
        </w:rPr>
        <w:t>一、封面格式</w:t>
      </w:r>
      <w:bookmarkEnd w:id="289"/>
      <w:bookmarkEnd w:id="290"/>
      <w:r>
        <w:rPr>
          <w:rFonts w:hint="eastAsia" w:ascii="宋体" w:hAnsi="宋体" w:eastAsia="宋体" w:cs="宋体"/>
          <w:color w:val="auto"/>
          <w:highlight w:val="none"/>
        </w:rPr>
        <w:t>（不适用本项目）</w:t>
      </w:r>
    </w:p>
    <w:tbl>
      <w:tblPr>
        <w:tblStyle w:val="1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7DC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noWrap w:val="0"/>
            <w:vAlign w:val="top"/>
          </w:tcPr>
          <w:p w14:paraId="2932B417">
            <w:pPr>
              <w:spacing w:line="36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响应文件</w:t>
            </w:r>
          </w:p>
          <w:p w14:paraId="38BF9699">
            <w:pPr>
              <w:spacing w:line="360" w:lineRule="auto"/>
              <w:jc w:val="center"/>
              <w:rPr>
                <w:rFonts w:ascii="宋体" w:hAnsi="宋体" w:cs="宋体"/>
                <w:color w:val="auto"/>
                <w:highlight w:val="none"/>
              </w:rPr>
            </w:pPr>
            <w:r>
              <w:rPr>
                <w:rFonts w:hint="eastAsia" w:ascii="宋体" w:hAnsi="宋体" w:cs="宋体"/>
                <w:color w:val="auto"/>
                <w:highlight w:val="none"/>
              </w:rPr>
              <w:t>项目编号：</w:t>
            </w:r>
          </w:p>
          <w:p w14:paraId="7AF4D215">
            <w:pPr>
              <w:spacing w:line="360" w:lineRule="auto"/>
              <w:jc w:val="center"/>
              <w:rPr>
                <w:rFonts w:ascii="宋体" w:hAnsi="宋体" w:cs="宋体"/>
                <w:color w:val="auto"/>
                <w:highlight w:val="none"/>
              </w:rPr>
            </w:pPr>
            <w:r>
              <w:rPr>
                <w:rFonts w:hint="eastAsia" w:ascii="宋体" w:hAnsi="宋体" w:cs="宋体"/>
                <w:color w:val="auto"/>
                <w:highlight w:val="none"/>
              </w:rPr>
              <w:t>项目名称：</w:t>
            </w:r>
          </w:p>
          <w:p w14:paraId="5F13D59C">
            <w:pPr>
              <w:spacing w:line="360" w:lineRule="auto"/>
              <w:jc w:val="center"/>
              <w:rPr>
                <w:rFonts w:ascii="宋体" w:hAnsi="宋体" w:cs="宋体"/>
                <w:color w:val="auto"/>
                <w:highlight w:val="none"/>
              </w:rPr>
            </w:pPr>
            <w:r>
              <w:rPr>
                <w:rFonts w:hint="eastAsia" w:ascii="宋体" w:hAnsi="宋体" w:cs="宋体"/>
                <w:color w:val="auto"/>
                <w:highlight w:val="none"/>
              </w:rPr>
              <w:t>项目包号：</w:t>
            </w:r>
          </w:p>
          <w:p w14:paraId="325D95CB">
            <w:pPr>
              <w:spacing w:line="360" w:lineRule="auto"/>
              <w:jc w:val="center"/>
              <w:rPr>
                <w:rFonts w:ascii="宋体" w:hAnsi="宋体" w:cs="宋体"/>
                <w:color w:val="auto"/>
                <w:highlight w:val="none"/>
              </w:rPr>
            </w:pPr>
            <w:r>
              <w:rPr>
                <w:rFonts w:hint="eastAsia" w:ascii="宋体" w:hAnsi="宋体" w:cs="宋体"/>
                <w:color w:val="auto"/>
                <w:highlight w:val="none"/>
              </w:rPr>
              <w:t>供应商名称（电子公章）：</w:t>
            </w:r>
          </w:p>
          <w:p w14:paraId="52B4D588">
            <w:pPr>
              <w:spacing w:line="360" w:lineRule="auto"/>
              <w:jc w:val="center"/>
              <w:rPr>
                <w:rFonts w:ascii="宋体" w:hAnsi="宋体" w:cs="宋体"/>
                <w:color w:val="auto"/>
                <w:highlight w:val="none"/>
              </w:rPr>
            </w:pPr>
            <w:r>
              <w:rPr>
                <w:rFonts w:hint="eastAsia" w:ascii="宋体" w:hAnsi="宋体" w:cs="宋体"/>
                <w:color w:val="auto"/>
                <w:highlight w:val="none"/>
              </w:rPr>
              <w:t>日期</w:t>
            </w:r>
          </w:p>
        </w:tc>
      </w:tr>
    </w:tbl>
    <w:p w14:paraId="4BE0CD43">
      <w:pPr>
        <w:pStyle w:val="3"/>
        <w:numPr>
          <w:ilvl w:val="0"/>
          <w:numId w:val="0"/>
        </w:numPr>
        <w:spacing w:line="360" w:lineRule="auto"/>
        <w:ind w:leftChars="177"/>
        <w:jc w:val="both"/>
        <w:rPr>
          <w:rFonts w:hint="eastAsia" w:ascii="宋体" w:hAnsi="宋体" w:eastAsia="宋体" w:cs="宋体"/>
          <w:color w:val="auto"/>
          <w:highlight w:val="none"/>
        </w:rPr>
      </w:pPr>
      <w:bookmarkStart w:id="291" w:name="_Toc518923108"/>
      <w:bookmarkStart w:id="292" w:name="_Toc46235128"/>
      <w:bookmarkStart w:id="293" w:name="_Toc2507"/>
      <w:r>
        <w:rPr>
          <w:rFonts w:hint="eastAsia" w:ascii="宋体" w:hAnsi="宋体" w:eastAsia="宋体" w:cs="宋体"/>
          <w:color w:val="auto"/>
          <w:highlight w:val="none"/>
          <w:lang w:val="en-US" w:eastAsia="zh-CN"/>
        </w:rPr>
        <w:t>备注：所有格式仅供参考，所有附件格式在招标文件或临沂市公共资源交易系统软件自选（自行选择其一）。</w:t>
      </w:r>
      <w:r>
        <w:rPr>
          <w:rFonts w:hint="eastAsia" w:ascii="宋体" w:hAnsi="宋体" w:eastAsia="宋体" w:cs="宋体"/>
          <w:color w:val="auto"/>
          <w:highlight w:val="none"/>
        </w:rPr>
        <w:br w:type="page"/>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报价一览表</w:t>
      </w:r>
      <w:bookmarkEnd w:id="291"/>
      <w:bookmarkEnd w:id="292"/>
      <w:bookmarkEnd w:id="293"/>
      <w:bookmarkStart w:id="294" w:name="_Hlt520356241"/>
      <w:bookmarkEnd w:id="294"/>
      <w:bookmarkStart w:id="295" w:name="_Ref467988698"/>
      <w:bookmarkStart w:id="296" w:name="_Toc480942349"/>
      <w:bookmarkStart w:id="297" w:name="_Toc216582813"/>
      <w:bookmarkStart w:id="298" w:name="_Toc520356217"/>
    </w:p>
    <w:p w14:paraId="7F9F90B1">
      <w:pP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val="en-US" w:eastAsia="zh-CN"/>
        </w:rPr>
        <w:t>1.1</w:t>
      </w:r>
      <w:r>
        <w:rPr>
          <w:rFonts w:hint="eastAsia" w:ascii="宋体" w:hAnsi="宋体" w:eastAsia="宋体" w:cs="宋体"/>
          <w:b/>
          <w:color w:val="auto"/>
          <w:kern w:val="0"/>
          <w:sz w:val="28"/>
          <w:szCs w:val="28"/>
          <w:highlight w:val="none"/>
        </w:rPr>
        <w:t>报价一览表</w:t>
      </w:r>
    </w:p>
    <w:p w14:paraId="746759EF">
      <w:pPr>
        <w:spacing w:line="360" w:lineRule="auto"/>
        <w:ind w:right="187"/>
        <w:rPr>
          <w:rFonts w:ascii="宋体" w:hAnsi="宋体"/>
          <w:color w:val="auto"/>
          <w:sz w:val="24"/>
          <w:highlight w:val="none"/>
        </w:rPr>
      </w:pPr>
      <w:r>
        <w:rPr>
          <w:rFonts w:hint="eastAsia" w:ascii="宋体" w:hAnsi="宋体"/>
          <w:bCs/>
          <w:color w:val="auto"/>
          <w:sz w:val="24"/>
          <w:highlight w:val="none"/>
        </w:rPr>
        <w:t>项目名称、包号：</w:t>
      </w:r>
      <w:r>
        <w:rPr>
          <w:rFonts w:hint="eastAsia" w:ascii="宋体" w:hAnsi="宋体"/>
          <w:color w:val="auto"/>
          <w:sz w:val="24"/>
          <w:highlight w:val="none"/>
        </w:rPr>
        <w:t>________________               价格单位：元（人民币）</w:t>
      </w:r>
    </w:p>
    <w:tbl>
      <w:tblPr>
        <w:tblStyle w:val="19"/>
        <w:tblW w:w="91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68"/>
        <w:gridCol w:w="5954"/>
      </w:tblGrid>
      <w:tr w14:paraId="42B22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2" w:hRule="atLeast"/>
        </w:trPr>
        <w:tc>
          <w:tcPr>
            <w:tcW w:w="3168" w:type="dxa"/>
            <w:tcBorders>
              <w:left w:val="single" w:color="auto" w:sz="4" w:space="0"/>
              <w:bottom w:val="single" w:color="auto" w:sz="4" w:space="0"/>
            </w:tcBorders>
            <w:noWrap w:val="0"/>
            <w:vAlign w:val="center"/>
          </w:tcPr>
          <w:p w14:paraId="2A7DAF83">
            <w:pPr>
              <w:spacing w:line="460" w:lineRule="exact"/>
              <w:jc w:val="center"/>
              <w:rPr>
                <w:rFonts w:ascii="宋体" w:hAnsi="宋体"/>
                <w:bCs/>
                <w:color w:val="auto"/>
                <w:sz w:val="24"/>
                <w:highlight w:val="none"/>
              </w:rPr>
            </w:pPr>
            <w:r>
              <w:rPr>
                <w:rFonts w:ascii="宋体" w:hAnsi="宋体"/>
                <w:bCs/>
                <w:color w:val="auto"/>
                <w:sz w:val="24"/>
                <w:highlight w:val="none"/>
              </w:rPr>
              <w:t>总报价</w:t>
            </w:r>
          </w:p>
        </w:tc>
        <w:tc>
          <w:tcPr>
            <w:tcW w:w="5954" w:type="dxa"/>
            <w:tcBorders>
              <w:left w:val="single" w:color="auto" w:sz="4" w:space="0"/>
              <w:bottom w:val="single" w:color="auto" w:sz="4" w:space="0"/>
            </w:tcBorders>
            <w:noWrap w:val="0"/>
            <w:vAlign w:val="center"/>
          </w:tcPr>
          <w:p w14:paraId="5BE70E34">
            <w:pPr>
              <w:spacing w:line="460" w:lineRule="exact"/>
              <w:rPr>
                <w:rFonts w:ascii="宋体" w:hAnsi="宋体"/>
                <w:bCs/>
                <w:color w:val="auto"/>
                <w:sz w:val="24"/>
                <w:highlight w:val="none"/>
              </w:rPr>
            </w:pPr>
            <w:r>
              <w:rPr>
                <w:rFonts w:ascii="宋体" w:hAnsi="宋体"/>
                <w:bCs/>
                <w:color w:val="auto"/>
                <w:sz w:val="24"/>
                <w:highlight w:val="none"/>
              </w:rPr>
              <w:t xml:space="preserve">  大写：</w:t>
            </w:r>
          </w:p>
          <w:p w14:paraId="70690C5C">
            <w:pPr>
              <w:spacing w:line="460" w:lineRule="exact"/>
              <w:rPr>
                <w:rFonts w:ascii="宋体" w:hAnsi="宋体"/>
                <w:bCs/>
                <w:color w:val="auto"/>
                <w:sz w:val="24"/>
                <w:highlight w:val="none"/>
              </w:rPr>
            </w:pPr>
          </w:p>
          <w:p w14:paraId="7BCA9352">
            <w:pPr>
              <w:spacing w:line="460" w:lineRule="exact"/>
              <w:ind w:firstLine="240" w:firstLineChars="100"/>
              <w:rPr>
                <w:rFonts w:ascii="宋体" w:hAnsi="宋体"/>
                <w:bCs/>
                <w:color w:val="auto"/>
                <w:sz w:val="24"/>
                <w:highlight w:val="none"/>
              </w:rPr>
            </w:pPr>
            <w:r>
              <w:rPr>
                <w:rFonts w:ascii="宋体" w:hAnsi="宋体"/>
                <w:bCs/>
                <w:color w:val="auto"/>
                <w:sz w:val="24"/>
                <w:highlight w:val="none"/>
              </w:rPr>
              <w:t>小写：</w:t>
            </w:r>
          </w:p>
        </w:tc>
      </w:tr>
      <w:tr w14:paraId="4EEB7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0" w:hRule="atLeast"/>
        </w:trPr>
        <w:tc>
          <w:tcPr>
            <w:tcW w:w="3168" w:type="dxa"/>
            <w:tcBorders>
              <w:left w:val="single" w:color="auto" w:sz="4" w:space="0"/>
              <w:bottom w:val="single" w:color="auto" w:sz="4" w:space="0"/>
            </w:tcBorders>
            <w:noWrap w:val="0"/>
            <w:vAlign w:val="center"/>
          </w:tcPr>
          <w:p w14:paraId="14FFE4A0">
            <w:pPr>
              <w:spacing w:line="460" w:lineRule="exact"/>
              <w:jc w:val="center"/>
              <w:rPr>
                <w:rFonts w:hint="eastAsia" w:ascii="宋体" w:hAnsi="宋体" w:eastAsia="宋体"/>
                <w:bCs/>
                <w:color w:val="auto"/>
                <w:sz w:val="24"/>
                <w:highlight w:val="none"/>
                <w:lang w:eastAsia="zh-CN"/>
              </w:rPr>
            </w:pPr>
            <w:r>
              <w:rPr>
                <w:rFonts w:hint="eastAsia"/>
                <w:bCs/>
                <w:color w:val="auto"/>
                <w:sz w:val="24"/>
                <w:highlight w:val="none"/>
                <w:lang w:val="en-US" w:eastAsia="zh-CN"/>
              </w:rPr>
              <w:t>工期</w:t>
            </w:r>
          </w:p>
        </w:tc>
        <w:tc>
          <w:tcPr>
            <w:tcW w:w="5954" w:type="dxa"/>
            <w:tcBorders>
              <w:left w:val="single" w:color="auto" w:sz="4" w:space="0"/>
              <w:bottom w:val="single" w:color="auto" w:sz="4" w:space="0"/>
            </w:tcBorders>
            <w:noWrap w:val="0"/>
            <w:vAlign w:val="center"/>
          </w:tcPr>
          <w:p w14:paraId="65EEE207">
            <w:pPr>
              <w:spacing w:line="460" w:lineRule="exact"/>
              <w:rPr>
                <w:rFonts w:ascii="宋体" w:hAnsi="宋体"/>
                <w:bCs/>
                <w:color w:val="auto"/>
                <w:sz w:val="24"/>
                <w:highlight w:val="none"/>
              </w:rPr>
            </w:pPr>
          </w:p>
        </w:tc>
      </w:tr>
      <w:tr w14:paraId="327A9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trPr>
        <w:tc>
          <w:tcPr>
            <w:tcW w:w="3168" w:type="dxa"/>
            <w:tcBorders>
              <w:left w:val="single" w:color="auto" w:sz="4" w:space="0"/>
              <w:bottom w:val="single" w:color="auto" w:sz="4" w:space="0"/>
            </w:tcBorders>
            <w:noWrap w:val="0"/>
            <w:vAlign w:val="center"/>
          </w:tcPr>
          <w:p w14:paraId="484C9C53">
            <w:pPr>
              <w:spacing w:line="460" w:lineRule="exact"/>
              <w:jc w:val="center"/>
              <w:rPr>
                <w:rFonts w:hint="default"/>
                <w:bCs/>
                <w:color w:val="auto"/>
                <w:sz w:val="24"/>
                <w:highlight w:val="none"/>
                <w:lang w:val="en-US" w:eastAsia="zh-CN"/>
              </w:rPr>
            </w:pPr>
            <w:r>
              <w:rPr>
                <w:rFonts w:hint="eastAsia"/>
                <w:bCs/>
                <w:color w:val="auto"/>
                <w:sz w:val="24"/>
                <w:highlight w:val="none"/>
                <w:lang w:val="en-US" w:eastAsia="zh-CN"/>
              </w:rPr>
              <w:t>质量</w:t>
            </w:r>
          </w:p>
        </w:tc>
        <w:tc>
          <w:tcPr>
            <w:tcW w:w="5954" w:type="dxa"/>
            <w:tcBorders>
              <w:left w:val="single" w:color="auto" w:sz="4" w:space="0"/>
              <w:bottom w:val="single" w:color="auto" w:sz="4" w:space="0"/>
            </w:tcBorders>
            <w:noWrap w:val="0"/>
            <w:vAlign w:val="center"/>
          </w:tcPr>
          <w:p w14:paraId="2F9CEE5D">
            <w:pPr>
              <w:spacing w:line="460" w:lineRule="exact"/>
              <w:jc w:val="right"/>
              <w:rPr>
                <w:rFonts w:hint="default" w:ascii="宋体" w:hAnsi="宋体" w:eastAsia="宋体"/>
                <w:bCs/>
                <w:color w:val="auto"/>
                <w:sz w:val="24"/>
                <w:highlight w:val="none"/>
                <w:lang w:val="en-US" w:eastAsia="zh-CN"/>
              </w:rPr>
            </w:pPr>
            <w:r>
              <w:rPr>
                <w:rFonts w:hint="eastAsia"/>
                <w:bCs/>
                <w:color w:val="auto"/>
                <w:sz w:val="24"/>
                <w:highlight w:val="none"/>
                <w:lang w:val="en-US" w:eastAsia="zh-CN"/>
              </w:rPr>
              <w:t>（合格或优秀）</w:t>
            </w:r>
          </w:p>
        </w:tc>
      </w:tr>
      <w:tr w14:paraId="5DF2C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5" w:hRule="atLeast"/>
        </w:trPr>
        <w:tc>
          <w:tcPr>
            <w:tcW w:w="3168" w:type="dxa"/>
            <w:tcBorders>
              <w:top w:val="single" w:color="auto" w:sz="4" w:space="0"/>
              <w:left w:val="single" w:color="auto" w:sz="4" w:space="0"/>
            </w:tcBorders>
            <w:noWrap w:val="0"/>
            <w:vAlign w:val="center"/>
          </w:tcPr>
          <w:p w14:paraId="713525F8">
            <w:pPr>
              <w:spacing w:line="460" w:lineRule="exact"/>
              <w:jc w:val="center"/>
              <w:rPr>
                <w:rFonts w:hint="eastAsia" w:ascii="宋体" w:hAnsi="宋体" w:eastAsia="宋体"/>
                <w:bCs/>
                <w:color w:val="auto"/>
                <w:sz w:val="24"/>
                <w:highlight w:val="none"/>
                <w:lang w:eastAsia="zh-CN"/>
              </w:rPr>
            </w:pPr>
            <w:r>
              <w:rPr>
                <w:rFonts w:hint="eastAsia"/>
                <w:bCs/>
                <w:color w:val="auto"/>
                <w:sz w:val="24"/>
                <w:highlight w:val="none"/>
                <w:lang w:val="en-US" w:eastAsia="zh-CN"/>
              </w:rPr>
              <w:t>备注</w:t>
            </w:r>
          </w:p>
        </w:tc>
        <w:tc>
          <w:tcPr>
            <w:tcW w:w="5954" w:type="dxa"/>
            <w:tcBorders>
              <w:top w:val="single" w:color="auto" w:sz="4" w:space="0"/>
              <w:left w:val="single" w:color="auto" w:sz="4" w:space="0"/>
            </w:tcBorders>
            <w:noWrap w:val="0"/>
            <w:vAlign w:val="center"/>
          </w:tcPr>
          <w:p w14:paraId="32D6C486">
            <w:pPr>
              <w:spacing w:line="460" w:lineRule="exact"/>
              <w:rPr>
                <w:rFonts w:ascii="宋体" w:hAnsi="宋体"/>
                <w:bCs/>
                <w:color w:val="auto"/>
                <w:sz w:val="24"/>
                <w:highlight w:val="none"/>
              </w:rPr>
            </w:pPr>
          </w:p>
        </w:tc>
      </w:tr>
    </w:tbl>
    <w:p w14:paraId="78EE5FF1">
      <w:pPr>
        <w:tabs>
          <w:tab w:val="left" w:pos="567"/>
          <w:tab w:val="left" w:pos="1146"/>
          <w:tab w:val="left" w:pos="1719"/>
          <w:tab w:val="left" w:pos="2483"/>
        </w:tabs>
        <w:spacing w:before="120" w:line="480" w:lineRule="exact"/>
        <w:ind w:leftChars="-135" w:hanging="283" w:hangingChars="118"/>
        <w:rPr>
          <w:rFonts w:ascii="宋体" w:hAnsi="宋体" w:cs="宋体"/>
          <w:color w:val="auto"/>
          <w:sz w:val="24"/>
          <w:highlight w:val="none"/>
        </w:rPr>
      </w:pPr>
      <w:r>
        <w:rPr>
          <w:rFonts w:hint="eastAsia" w:ascii="宋体" w:hAnsi="宋体" w:cs="宋体"/>
          <w:color w:val="auto"/>
          <w:sz w:val="24"/>
          <w:highlight w:val="none"/>
        </w:rPr>
        <w:t>说明：1、开标一览表中“投标报价”是指</w:t>
      </w:r>
      <w:r>
        <w:rPr>
          <w:rFonts w:hint="eastAsia" w:cs="宋体"/>
          <w:color w:val="auto"/>
          <w:sz w:val="24"/>
          <w:highlight w:val="none"/>
          <w:lang w:val="en-US" w:eastAsia="zh-CN"/>
        </w:rPr>
        <w:t>完成共工程</w:t>
      </w:r>
      <w:r>
        <w:rPr>
          <w:rFonts w:hint="eastAsia" w:ascii="宋体" w:hAnsi="宋体" w:cs="宋体"/>
          <w:color w:val="auto"/>
          <w:sz w:val="24"/>
          <w:highlight w:val="none"/>
        </w:rPr>
        <w:t>的全部费用的报价。</w:t>
      </w:r>
    </w:p>
    <w:p w14:paraId="3F5B03FB">
      <w:pPr>
        <w:numPr>
          <w:ilvl w:val="0"/>
          <w:numId w:val="0"/>
        </w:numPr>
        <w:tabs>
          <w:tab w:val="left" w:pos="567"/>
          <w:tab w:val="left" w:pos="1146"/>
          <w:tab w:val="left" w:pos="1719"/>
          <w:tab w:val="left" w:pos="2483"/>
        </w:tabs>
        <w:spacing w:before="120" w:line="480" w:lineRule="exact"/>
        <w:ind w:leftChars="165"/>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投标报价应和投标分项报价表的合计总价相一致。</w:t>
      </w:r>
    </w:p>
    <w:p w14:paraId="3A7E3839">
      <w:pPr>
        <w:pStyle w:val="11"/>
        <w:tabs>
          <w:tab w:val="left" w:pos="5580"/>
        </w:tabs>
        <w:spacing w:line="480" w:lineRule="exact"/>
        <w:ind w:left="1079" w:leftChars="257" w:hanging="540"/>
        <w:rPr>
          <w:rFonts w:hAnsi="宋体" w:cs="宋体"/>
          <w:color w:val="auto"/>
          <w:sz w:val="24"/>
          <w:szCs w:val="24"/>
          <w:highlight w:val="none"/>
        </w:rPr>
      </w:pPr>
      <w:r>
        <w:rPr>
          <w:rFonts w:hint="eastAsia" w:hAnsi="宋体" w:cs="宋体"/>
          <w:color w:val="auto"/>
          <w:sz w:val="24"/>
          <w:szCs w:val="24"/>
          <w:highlight w:val="none"/>
          <w:lang w:eastAsia="zh-CN"/>
        </w:rPr>
        <w:t>供应商</w:t>
      </w:r>
      <w:r>
        <w:rPr>
          <w:rFonts w:hint="eastAsia" w:hAnsi="宋体" w:cs="宋体"/>
          <w:color w:val="auto"/>
          <w:sz w:val="24"/>
          <w:szCs w:val="24"/>
          <w:highlight w:val="none"/>
        </w:rPr>
        <w:t>名称（单位章）：</w:t>
      </w:r>
      <w:r>
        <w:rPr>
          <w:rFonts w:hint="eastAsia" w:hAnsi="宋体" w:cs="宋体"/>
          <w:color w:val="auto"/>
          <w:sz w:val="24"/>
          <w:szCs w:val="24"/>
          <w:highlight w:val="none"/>
          <w:u w:val="single"/>
        </w:rPr>
        <w:t xml:space="preserve">                       </w:t>
      </w:r>
    </w:p>
    <w:p w14:paraId="228C1D9C">
      <w:pPr>
        <w:pStyle w:val="11"/>
        <w:tabs>
          <w:tab w:val="left" w:pos="5580"/>
        </w:tabs>
        <w:spacing w:line="480" w:lineRule="exact"/>
        <w:ind w:left="1079" w:leftChars="257" w:hanging="540"/>
        <w:rPr>
          <w:rFonts w:hAnsi="宋体" w:cs="宋体"/>
          <w:color w:val="auto"/>
          <w:sz w:val="24"/>
          <w:szCs w:val="24"/>
          <w:highlight w:val="none"/>
          <w:u w:val="single"/>
        </w:rPr>
      </w:pPr>
      <w:r>
        <w:rPr>
          <w:rFonts w:hint="eastAsia" w:hAnsi="宋体" w:cs="宋体"/>
          <w:color w:val="auto"/>
          <w:sz w:val="24"/>
          <w:szCs w:val="24"/>
          <w:highlight w:val="none"/>
        </w:rPr>
        <w:t>法定代表人或其委托代理人(签字):</w:t>
      </w:r>
      <w:r>
        <w:rPr>
          <w:rFonts w:hint="eastAsia" w:hAnsi="宋体" w:cs="宋体"/>
          <w:color w:val="auto"/>
          <w:sz w:val="24"/>
          <w:szCs w:val="24"/>
          <w:highlight w:val="none"/>
          <w:u w:val="single"/>
        </w:rPr>
        <w:tab/>
      </w:r>
    </w:p>
    <w:p w14:paraId="38507D84">
      <w:pP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b/>
          <w:color w:val="auto"/>
          <w:kern w:val="0"/>
          <w:sz w:val="28"/>
          <w:szCs w:val="28"/>
          <w:highlight w:val="none"/>
        </w:rPr>
        <w:t>1.2</w:t>
      </w:r>
      <w:r>
        <w:rPr>
          <w:rFonts w:hint="eastAsia" w:ascii="宋体" w:hAnsi="宋体" w:cs="宋体"/>
          <w:b/>
          <w:color w:val="auto"/>
          <w:kern w:val="0"/>
          <w:sz w:val="28"/>
          <w:szCs w:val="28"/>
          <w:highlight w:val="none"/>
          <w:lang w:val="en-US" w:eastAsia="zh-CN"/>
        </w:rPr>
        <w:t>报价分析表</w:t>
      </w:r>
    </w:p>
    <w:tbl>
      <w:tblPr>
        <w:tblStyle w:val="19"/>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280"/>
        <w:gridCol w:w="1195"/>
        <w:gridCol w:w="1014"/>
        <w:gridCol w:w="1382"/>
        <w:gridCol w:w="1569"/>
        <w:gridCol w:w="878"/>
      </w:tblGrid>
      <w:tr w14:paraId="3D35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780" w:type="dxa"/>
            <w:noWrap w:val="0"/>
            <w:vAlign w:val="center"/>
          </w:tcPr>
          <w:p w14:paraId="6F99A3B9">
            <w:pPr>
              <w:jc w:val="center"/>
              <w:rPr>
                <w:rFonts w:ascii="宋体" w:hAnsi="宋体" w:cs="宋体"/>
                <w:color w:val="auto"/>
                <w:sz w:val="24"/>
                <w:highlight w:val="none"/>
                <w:lang w:bidi="zh-CN"/>
              </w:rPr>
            </w:pPr>
            <w:r>
              <w:rPr>
                <w:rFonts w:hint="eastAsia" w:ascii="宋体" w:hAnsi="宋体" w:cs="宋体"/>
                <w:color w:val="auto"/>
                <w:sz w:val="24"/>
                <w:highlight w:val="none"/>
                <w:lang w:bidi="zh-CN"/>
              </w:rPr>
              <w:t>序号</w:t>
            </w:r>
          </w:p>
        </w:tc>
        <w:tc>
          <w:tcPr>
            <w:tcW w:w="2280" w:type="dxa"/>
            <w:noWrap w:val="0"/>
            <w:vAlign w:val="center"/>
          </w:tcPr>
          <w:p w14:paraId="0DE10BF0">
            <w:pPr>
              <w:jc w:val="center"/>
              <w:rPr>
                <w:rFonts w:ascii="宋体" w:hAnsi="宋体" w:cs="宋体"/>
                <w:color w:val="auto"/>
                <w:sz w:val="24"/>
                <w:highlight w:val="none"/>
                <w:lang w:val="zh-CN" w:bidi="zh-CN"/>
              </w:rPr>
            </w:pPr>
            <w:r>
              <w:rPr>
                <w:rFonts w:ascii="宋体" w:hAnsi="宋体" w:cs="宋体"/>
                <w:color w:val="auto"/>
                <w:sz w:val="24"/>
                <w:highlight w:val="none"/>
                <w:lang w:val="zh-CN" w:bidi="zh-CN"/>
              </w:rPr>
              <w:t>名称</w:t>
            </w:r>
          </w:p>
        </w:tc>
        <w:tc>
          <w:tcPr>
            <w:tcW w:w="1195" w:type="dxa"/>
            <w:noWrap w:val="0"/>
            <w:vAlign w:val="center"/>
          </w:tcPr>
          <w:p w14:paraId="7683B5FC">
            <w:pPr>
              <w:pStyle w:val="28"/>
              <w:spacing w:before="1"/>
              <w:ind w:right="258"/>
              <w:jc w:val="center"/>
              <w:rPr>
                <w:color w:val="auto"/>
                <w:sz w:val="24"/>
                <w:highlight w:val="none"/>
              </w:rPr>
            </w:pPr>
            <w:r>
              <w:rPr>
                <w:color w:val="auto"/>
                <w:sz w:val="24"/>
                <w:highlight w:val="none"/>
              </w:rPr>
              <w:t>单位</w:t>
            </w:r>
          </w:p>
        </w:tc>
        <w:tc>
          <w:tcPr>
            <w:tcW w:w="1014" w:type="dxa"/>
            <w:noWrap w:val="0"/>
            <w:vAlign w:val="center"/>
          </w:tcPr>
          <w:p w14:paraId="3EBBD11B">
            <w:pPr>
              <w:pStyle w:val="28"/>
              <w:spacing w:before="1"/>
              <w:ind w:right="187"/>
              <w:jc w:val="center"/>
              <w:rPr>
                <w:color w:val="auto"/>
                <w:sz w:val="24"/>
                <w:highlight w:val="none"/>
              </w:rPr>
            </w:pPr>
            <w:r>
              <w:rPr>
                <w:color w:val="auto"/>
                <w:sz w:val="24"/>
                <w:highlight w:val="none"/>
              </w:rPr>
              <w:t>数量</w:t>
            </w:r>
          </w:p>
        </w:tc>
        <w:tc>
          <w:tcPr>
            <w:tcW w:w="1382" w:type="dxa"/>
            <w:noWrap w:val="0"/>
            <w:vAlign w:val="center"/>
          </w:tcPr>
          <w:p w14:paraId="572C877A">
            <w:pPr>
              <w:pStyle w:val="28"/>
              <w:spacing w:before="1"/>
              <w:ind w:right="190"/>
              <w:jc w:val="center"/>
              <w:rPr>
                <w:color w:val="auto"/>
                <w:sz w:val="24"/>
                <w:highlight w:val="none"/>
              </w:rPr>
            </w:pPr>
            <w:r>
              <w:rPr>
                <w:color w:val="auto"/>
                <w:sz w:val="24"/>
                <w:highlight w:val="none"/>
              </w:rPr>
              <w:t>单价</w:t>
            </w:r>
            <w:r>
              <w:rPr>
                <w:rFonts w:hint="eastAsia"/>
                <w:color w:val="auto"/>
                <w:sz w:val="24"/>
                <w:highlight w:val="none"/>
              </w:rPr>
              <w:t>（</w:t>
            </w:r>
            <w:r>
              <w:rPr>
                <w:rFonts w:hint="eastAsia"/>
                <w:color w:val="auto"/>
                <w:sz w:val="24"/>
                <w:highlight w:val="none"/>
                <w:lang w:val="en-US"/>
              </w:rPr>
              <w:t>元</w:t>
            </w:r>
            <w:r>
              <w:rPr>
                <w:rFonts w:hint="eastAsia"/>
                <w:color w:val="auto"/>
                <w:sz w:val="24"/>
                <w:highlight w:val="none"/>
              </w:rPr>
              <w:t>）</w:t>
            </w:r>
          </w:p>
        </w:tc>
        <w:tc>
          <w:tcPr>
            <w:tcW w:w="1569" w:type="dxa"/>
            <w:noWrap w:val="0"/>
            <w:vAlign w:val="center"/>
          </w:tcPr>
          <w:p w14:paraId="28BD37D1">
            <w:pPr>
              <w:pStyle w:val="28"/>
              <w:spacing w:before="1"/>
              <w:ind w:right="294"/>
              <w:jc w:val="center"/>
              <w:rPr>
                <w:rFonts w:hint="eastAsia" w:eastAsia="宋体"/>
                <w:color w:val="auto"/>
                <w:sz w:val="24"/>
                <w:highlight w:val="none"/>
                <w:lang w:val="en-US" w:eastAsia="zh-CN"/>
              </w:rPr>
            </w:pPr>
            <w:r>
              <w:rPr>
                <w:rFonts w:hint="eastAsia"/>
                <w:color w:val="auto"/>
                <w:sz w:val="24"/>
                <w:highlight w:val="none"/>
                <w:lang w:val="en-US" w:eastAsia="zh-CN"/>
              </w:rPr>
              <w:t>合计（元）</w:t>
            </w:r>
          </w:p>
        </w:tc>
        <w:tc>
          <w:tcPr>
            <w:tcW w:w="878" w:type="dxa"/>
            <w:noWrap w:val="0"/>
            <w:vAlign w:val="center"/>
          </w:tcPr>
          <w:p w14:paraId="415FDF83">
            <w:pPr>
              <w:pStyle w:val="28"/>
              <w:spacing w:before="1"/>
              <w:rPr>
                <w:color w:val="auto"/>
                <w:sz w:val="24"/>
                <w:highlight w:val="none"/>
              </w:rPr>
            </w:pPr>
            <w:r>
              <w:rPr>
                <w:color w:val="auto"/>
                <w:sz w:val="24"/>
                <w:highlight w:val="none"/>
              </w:rPr>
              <w:t>备注</w:t>
            </w:r>
          </w:p>
        </w:tc>
      </w:tr>
      <w:tr w14:paraId="21F5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80" w:type="dxa"/>
            <w:noWrap w:val="0"/>
            <w:vAlign w:val="top"/>
          </w:tcPr>
          <w:p w14:paraId="782AAB79">
            <w:pPr>
              <w:pStyle w:val="10"/>
              <w:ind w:left="1260"/>
              <w:rPr>
                <w:rFonts w:eastAsia="宋体" w:cs="Times New Roman"/>
                <w:color w:val="auto"/>
                <w:highlight w:val="none"/>
              </w:rPr>
            </w:pPr>
            <w:r>
              <w:rPr>
                <w:rFonts w:hint="eastAsia" w:eastAsia="宋体" w:cs="Times New Roman"/>
                <w:color w:val="auto"/>
                <w:highlight w:val="none"/>
              </w:rPr>
              <w:t>11</w:t>
            </w:r>
          </w:p>
        </w:tc>
        <w:tc>
          <w:tcPr>
            <w:tcW w:w="2280" w:type="dxa"/>
            <w:noWrap w:val="0"/>
            <w:vAlign w:val="top"/>
          </w:tcPr>
          <w:p w14:paraId="720A65F9">
            <w:pPr>
              <w:pStyle w:val="10"/>
              <w:rPr>
                <w:rFonts w:eastAsia="宋体" w:cs="Times New Roman"/>
                <w:color w:val="auto"/>
                <w:highlight w:val="none"/>
              </w:rPr>
            </w:pPr>
          </w:p>
        </w:tc>
        <w:tc>
          <w:tcPr>
            <w:tcW w:w="1195" w:type="dxa"/>
            <w:noWrap w:val="0"/>
            <w:vAlign w:val="top"/>
          </w:tcPr>
          <w:p w14:paraId="79C01D54">
            <w:pPr>
              <w:pStyle w:val="10"/>
              <w:ind w:left="1260"/>
              <w:rPr>
                <w:rFonts w:eastAsia="宋体" w:cs="Times New Roman"/>
                <w:color w:val="auto"/>
                <w:highlight w:val="none"/>
              </w:rPr>
            </w:pPr>
          </w:p>
        </w:tc>
        <w:tc>
          <w:tcPr>
            <w:tcW w:w="1014" w:type="dxa"/>
            <w:noWrap w:val="0"/>
            <w:vAlign w:val="top"/>
          </w:tcPr>
          <w:p w14:paraId="1B0ED692">
            <w:pPr>
              <w:pStyle w:val="10"/>
              <w:ind w:left="1260"/>
              <w:rPr>
                <w:rFonts w:eastAsia="宋体" w:cs="Times New Roman"/>
                <w:color w:val="auto"/>
                <w:highlight w:val="none"/>
              </w:rPr>
            </w:pPr>
          </w:p>
        </w:tc>
        <w:tc>
          <w:tcPr>
            <w:tcW w:w="1382" w:type="dxa"/>
            <w:noWrap w:val="0"/>
            <w:vAlign w:val="top"/>
          </w:tcPr>
          <w:p w14:paraId="4DBA55DC">
            <w:pPr>
              <w:pStyle w:val="10"/>
              <w:ind w:left="1260"/>
              <w:rPr>
                <w:rFonts w:eastAsia="宋体" w:cs="Times New Roman"/>
                <w:color w:val="auto"/>
                <w:highlight w:val="none"/>
              </w:rPr>
            </w:pPr>
          </w:p>
        </w:tc>
        <w:tc>
          <w:tcPr>
            <w:tcW w:w="1569" w:type="dxa"/>
            <w:noWrap w:val="0"/>
            <w:vAlign w:val="top"/>
          </w:tcPr>
          <w:p w14:paraId="5126A3E2">
            <w:pPr>
              <w:pStyle w:val="10"/>
              <w:ind w:left="1260"/>
              <w:rPr>
                <w:rFonts w:eastAsia="宋体" w:cs="Times New Roman"/>
                <w:color w:val="auto"/>
                <w:highlight w:val="none"/>
              </w:rPr>
            </w:pPr>
          </w:p>
        </w:tc>
        <w:tc>
          <w:tcPr>
            <w:tcW w:w="878" w:type="dxa"/>
            <w:noWrap w:val="0"/>
            <w:vAlign w:val="top"/>
          </w:tcPr>
          <w:p w14:paraId="0001F8B4">
            <w:pPr>
              <w:pStyle w:val="10"/>
              <w:ind w:left="1260"/>
              <w:rPr>
                <w:rFonts w:eastAsia="宋体" w:cs="Times New Roman"/>
                <w:color w:val="auto"/>
                <w:highlight w:val="none"/>
              </w:rPr>
            </w:pPr>
          </w:p>
        </w:tc>
      </w:tr>
      <w:tr w14:paraId="45F4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80" w:type="dxa"/>
            <w:noWrap w:val="0"/>
            <w:vAlign w:val="top"/>
          </w:tcPr>
          <w:p w14:paraId="0B415196">
            <w:pPr>
              <w:pStyle w:val="10"/>
              <w:ind w:left="1260"/>
              <w:rPr>
                <w:rFonts w:eastAsia="宋体" w:cs="Times New Roman"/>
                <w:color w:val="auto"/>
                <w:highlight w:val="none"/>
              </w:rPr>
            </w:pPr>
          </w:p>
        </w:tc>
        <w:tc>
          <w:tcPr>
            <w:tcW w:w="2280" w:type="dxa"/>
            <w:noWrap w:val="0"/>
            <w:vAlign w:val="top"/>
          </w:tcPr>
          <w:p w14:paraId="04EA9979">
            <w:pPr>
              <w:pStyle w:val="10"/>
              <w:ind w:left="1260"/>
              <w:rPr>
                <w:rFonts w:eastAsia="宋体" w:cs="Times New Roman"/>
                <w:color w:val="auto"/>
                <w:highlight w:val="none"/>
              </w:rPr>
            </w:pPr>
          </w:p>
        </w:tc>
        <w:tc>
          <w:tcPr>
            <w:tcW w:w="1195" w:type="dxa"/>
            <w:noWrap w:val="0"/>
            <w:vAlign w:val="top"/>
          </w:tcPr>
          <w:p w14:paraId="115CC99B">
            <w:pPr>
              <w:pStyle w:val="10"/>
              <w:ind w:left="1260"/>
              <w:rPr>
                <w:rFonts w:eastAsia="宋体" w:cs="Times New Roman"/>
                <w:color w:val="auto"/>
                <w:highlight w:val="none"/>
              </w:rPr>
            </w:pPr>
          </w:p>
        </w:tc>
        <w:tc>
          <w:tcPr>
            <w:tcW w:w="1014" w:type="dxa"/>
            <w:noWrap w:val="0"/>
            <w:vAlign w:val="top"/>
          </w:tcPr>
          <w:p w14:paraId="14755D53">
            <w:pPr>
              <w:pStyle w:val="10"/>
              <w:ind w:left="1260"/>
              <w:rPr>
                <w:rFonts w:eastAsia="宋体" w:cs="Times New Roman"/>
                <w:color w:val="auto"/>
                <w:highlight w:val="none"/>
              </w:rPr>
            </w:pPr>
          </w:p>
        </w:tc>
        <w:tc>
          <w:tcPr>
            <w:tcW w:w="1382" w:type="dxa"/>
            <w:noWrap w:val="0"/>
            <w:vAlign w:val="top"/>
          </w:tcPr>
          <w:p w14:paraId="4C8554EE">
            <w:pPr>
              <w:pStyle w:val="10"/>
              <w:ind w:left="1260"/>
              <w:rPr>
                <w:rFonts w:eastAsia="宋体" w:cs="Times New Roman"/>
                <w:color w:val="auto"/>
                <w:highlight w:val="none"/>
              </w:rPr>
            </w:pPr>
          </w:p>
        </w:tc>
        <w:tc>
          <w:tcPr>
            <w:tcW w:w="1569" w:type="dxa"/>
            <w:noWrap w:val="0"/>
            <w:vAlign w:val="top"/>
          </w:tcPr>
          <w:p w14:paraId="4A98E250">
            <w:pPr>
              <w:pStyle w:val="10"/>
              <w:ind w:left="1260"/>
              <w:rPr>
                <w:rFonts w:eastAsia="宋体" w:cs="Times New Roman"/>
                <w:color w:val="auto"/>
                <w:highlight w:val="none"/>
              </w:rPr>
            </w:pPr>
          </w:p>
        </w:tc>
        <w:tc>
          <w:tcPr>
            <w:tcW w:w="878" w:type="dxa"/>
            <w:noWrap w:val="0"/>
            <w:vAlign w:val="top"/>
          </w:tcPr>
          <w:p w14:paraId="6162CD27">
            <w:pPr>
              <w:pStyle w:val="10"/>
              <w:ind w:left="1260"/>
              <w:rPr>
                <w:rFonts w:eastAsia="宋体" w:cs="Times New Roman"/>
                <w:color w:val="auto"/>
                <w:highlight w:val="none"/>
              </w:rPr>
            </w:pPr>
          </w:p>
        </w:tc>
      </w:tr>
      <w:tr w14:paraId="629E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80" w:type="dxa"/>
            <w:noWrap w:val="0"/>
            <w:vAlign w:val="top"/>
          </w:tcPr>
          <w:p w14:paraId="00559394">
            <w:pPr>
              <w:pStyle w:val="10"/>
              <w:ind w:left="1260"/>
              <w:rPr>
                <w:rFonts w:eastAsia="宋体" w:cs="Times New Roman"/>
                <w:color w:val="auto"/>
                <w:highlight w:val="none"/>
              </w:rPr>
            </w:pPr>
          </w:p>
        </w:tc>
        <w:tc>
          <w:tcPr>
            <w:tcW w:w="2280" w:type="dxa"/>
            <w:noWrap w:val="0"/>
            <w:vAlign w:val="top"/>
          </w:tcPr>
          <w:p w14:paraId="54FC095F">
            <w:pPr>
              <w:pStyle w:val="10"/>
              <w:ind w:left="1260"/>
              <w:rPr>
                <w:rFonts w:eastAsia="宋体" w:cs="Times New Roman"/>
                <w:color w:val="auto"/>
                <w:highlight w:val="none"/>
              </w:rPr>
            </w:pPr>
          </w:p>
        </w:tc>
        <w:tc>
          <w:tcPr>
            <w:tcW w:w="1195" w:type="dxa"/>
            <w:noWrap w:val="0"/>
            <w:vAlign w:val="top"/>
          </w:tcPr>
          <w:p w14:paraId="45A3BF29">
            <w:pPr>
              <w:pStyle w:val="10"/>
              <w:ind w:left="1260"/>
              <w:rPr>
                <w:rFonts w:eastAsia="宋体" w:cs="Times New Roman"/>
                <w:color w:val="auto"/>
                <w:highlight w:val="none"/>
              </w:rPr>
            </w:pPr>
          </w:p>
        </w:tc>
        <w:tc>
          <w:tcPr>
            <w:tcW w:w="1014" w:type="dxa"/>
            <w:noWrap w:val="0"/>
            <w:vAlign w:val="top"/>
          </w:tcPr>
          <w:p w14:paraId="10B3C7FE">
            <w:pPr>
              <w:pStyle w:val="10"/>
              <w:ind w:left="1260"/>
              <w:rPr>
                <w:rFonts w:eastAsia="宋体" w:cs="Times New Roman"/>
                <w:color w:val="auto"/>
                <w:highlight w:val="none"/>
              </w:rPr>
            </w:pPr>
          </w:p>
        </w:tc>
        <w:tc>
          <w:tcPr>
            <w:tcW w:w="1382" w:type="dxa"/>
            <w:noWrap w:val="0"/>
            <w:vAlign w:val="top"/>
          </w:tcPr>
          <w:p w14:paraId="5747A790">
            <w:pPr>
              <w:pStyle w:val="10"/>
              <w:ind w:left="1260"/>
              <w:rPr>
                <w:rFonts w:eastAsia="宋体" w:cs="Times New Roman"/>
                <w:color w:val="auto"/>
                <w:highlight w:val="none"/>
              </w:rPr>
            </w:pPr>
          </w:p>
        </w:tc>
        <w:tc>
          <w:tcPr>
            <w:tcW w:w="1569" w:type="dxa"/>
            <w:noWrap w:val="0"/>
            <w:vAlign w:val="top"/>
          </w:tcPr>
          <w:p w14:paraId="7307B888">
            <w:pPr>
              <w:pStyle w:val="10"/>
              <w:ind w:left="1260"/>
              <w:rPr>
                <w:rFonts w:eastAsia="宋体" w:cs="Times New Roman"/>
                <w:color w:val="auto"/>
                <w:highlight w:val="none"/>
              </w:rPr>
            </w:pPr>
          </w:p>
        </w:tc>
        <w:tc>
          <w:tcPr>
            <w:tcW w:w="878" w:type="dxa"/>
            <w:noWrap w:val="0"/>
            <w:vAlign w:val="top"/>
          </w:tcPr>
          <w:p w14:paraId="501BB322">
            <w:pPr>
              <w:pStyle w:val="10"/>
              <w:ind w:left="1260"/>
              <w:rPr>
                <w:rFonts w:eastAsia="宋体" w:cs="Times New Roman"/>
                <w:color w:val="auto"/>
                <w:highlight w:val="none"/>
              </w:rPr>
            </w:pPr>
          </w:p>
        </w:tc>
      </w:tr>
      <w:tr w14:paraId="314D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80" w:type="dxa"/>
            <w:noWrap w:val="0"/>
            <w:vAlign w:val="top"/>
          </w:tcPr>
          <w:p w14:paraId="3D3E9876">
            <w:pPr>
              <w:pStyle w:val="10"/>
              <w:ind w:left="1260"/>
              <w:rPr>
                <w:rFonts w:eastAsia="宋体" w:cs="Times New Roman"/>
                <w:color w:val="auto"/>
                <w:highlight w:val="none"/>
              </w:rPr>
            </w:pPr>
          </w:p>
        </w:tc>
        <w:tc>
          <w:tcPr>
            <w:tcW w:w="2280" w:type="dxa"/>
            <w:noWrap w:val="0"/>
            <w:vAlign w:val="top"/>
          </w:tcPr>
          <w:p w14:paraId="1A7606B2">
            <w:pPr>
              <w:pStyle w:val="10"/>
              <w:ind w:left="1260"/>
              <w:rPr>
                <w:rFonts w:eastAsia="宋体" w:cs="Times New Roman"/>
                <w:color w:val="auto"/>
                <w:highlight w:val="none"/>
              </w:rPr>
            </w:pPr>
          </w:p>
        </w:tc>
        <w:tc>
          <w:tcPr>
            <w:tcW w:w="1195" w:type="dxa"/>
            <w:noWrap w:val="0"/>
            <w:vAlign w:val="top"/>
          </w:tcPr>
          <w:p w14:paraId="3C9F2DAF">
            <w:pPr>
              <w:pStyle w:val="10"/>
              <w:ind w:left="1260"/>
              <w:rPr>
                <w:rFonts w:eastAsia="宋体" w:cs="Times New Roman"/>
                <w:color w:val="auto"/>
                <w:highlight w:val="none"/>
              </w:rPr>
            </w:pPr>
          </w:p>
        </w:tc>
        <w:tc>
          <w:tcPr>
            <w:tcW w:w="1014" w:type="dxa"/>
            <w:noWrap w:val="0"/>
            <w:vAlign w:val="top"/>
          </w:tcPr>
          <w:p w14:paraId="7810BDE3">
            <w:pPr>
              <w:pStyle w:val="10"/>
              <w:ind w:left="1260"/>
              <w:rPr>
                <w:rFonts w:eastAsia="宋体" w:cs="Times New Roman"/>
                <w:color w:val="auto"/>
                <w:highlight w:val="none"/>
              </w:rPr>
            </w:pPr>
          </w:p>
        </w:tc>
        <w:tc>
          <w:tcPr>
            <w:tcW w:w="1382" w:type="dxa"/>
            <w:noWrap w:val="0"/>
            <w:vAlign w:val="top"/>
          </w:tcPr>
          <w:p w14:paraId="67248338">
            <w:pPr>
              <w:pStyle w:val="10"/>
              <w:ind w:left="1260"/>
              <w:rPr>
                <w:rFonts w:eastAsia="宋体" w:cs="Times New Roman"/>
                <w:color w:val="auto"/>
                <w:highlight w:val="none"/>
              </w:rPr>
            </w:pPr>
          </w:p>
        </w:tc>
        <w:tc>
          <w:tcPr>
            <w:tcW w:w="1569" w:type="dxa"/>
            <w:noWrap w:val="0"/>
            <w:vAlign w:val="top"/>
          </w:tcPr>
          <w:p w14:paraId="6B933852">
            <w:pPr>
              <w:pStyle w:val="10"/>
              <w:ind w:left="1260"/>
              <w:rPr>
                <w:rFonts w:eastAsia="宋体" w:cs="Times New Roman"/>
                <w:color w:val="auto"/>
                <w:highlight w:val="none"/>
              </w:rPr>
            </w:pPr>
          </w:p>
        </w:tc>
        <w:tc>
          <w:tcPr>
            <w:tcW w:w="878" w:type="dxa"/>
            <w:noWrap w:val="0"/>
            <w:vAlign w:val="top"/>
          </w:tcPr>
          <w:p w14:paraId="3150CC0B">
            <w:pPr>
              <w:pStyle w:val="10"/>
              <w:ind w:left="1260"/>
              <w:rPr>
                <w:rFonts w:eastAsia="宋体" w:cs="Times New Roman"/>
                <w:color w:val="auto"/>
                <w:highlight w:val="none"/>
              </w:rPr>
            </w:pPr>
          </w:p>
        </w:tc>
      </w:tr>
      <w:tr w14:paraId="2B5B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80" w:type="dxa"/>
            <w:noWrap w:val="0"/>
            <w:vAlign w:val="top"/>
          </w:tcPr>
          <w:p w14:paraId="55E7BA3E">
            <w:pPr>
              <w:pStyle w:val="10"/>
              <w:ind w:left="1260"/>
              <w:rPr>
                <w:rFonts w:eastAsia="宋体" w:cs="Times New Roman"/>
                <w:color w:val="auto"/>
                <w:highlight w:val="none"/>
              </w:rPr>
            </w:pPr>
          </w:p>
        </w:tc>
        <w:tc>
          <w:tcPr>
            <w:tcW w:w="2280" w:type="dxa"/>
            <w:noWrap w:val="0"/>
            <w:vAlign w:val="top"/>
          </w:tcPr>
          <w:p w14:paraId="6BC67B0F">
            <w:pPr>
              <w:pStyle w:val="10"/>
              <w:ind w:left="1260"/>
              <w:rPr>
                <w:rFonts w:eastAsia="宋体" w:cs="Times New Roman"/>
                <w:color w:val="auto"/>
                <w:highlight w:val="none"/>
              </w:rPr>
            </w:pPr>
          </w:p>
        </w:tc>
        <w:tc>
          <w:tcPr>
            <w:tcW w:w="1195" w:type="dxa"/>
            <w:noWrap w:val="0"/>
            <w:vAlign w:val="top"/>
          </w:tcPr>
          <w:p w14:paraId="45858CD9">
            <w:pPr>
              <w:pStyle w:val="10"/>
              <w:ind w:left="1260"/>
              <w:rPr>
                <w:rFonts w:eastAsia="宋体" w:cs="Times New Roman"/>
                <w:color w:val="auto"/>
                <w:highlight w:val="none"/>
              </w:rPr>
            </w:pPr>
          </w:p>
        </w:tc>
        <w:tc>
          <w:tcPr>
            <w:tcW w:w="1014" w:type="dxa"/>
            <w:noWrap w:val="0"/>
            <w:vAlign w:val="top"/>
          </w:tcPr>
          <w:p w14:paraId="62E81712">
            <w:pPr>
              <w:pStyle w:val="10"/>
              <w:ind w:left="1260"/>
              <w:rPr>
                <w:rFonts w:eastAsia="宋体" w:cs="Times New Roman"/>
                <w:color w:val="auto"/>
                <w:highlight w:val="none"/>
              </w:rPr>
            </w:pPr>
          </w:p>
        </w:tc>
        <w:tc>
          <w:tcPr>
            <w:tcW w:w="1382" w:type="dxa"/>
            <w:noWrap w:val="0"/>
            <w:vAlign w:val="top"/>
          </w:tcPr>
          <w:p w14:paraId="21D4EC49">
            <w:pPr>
              <w:pStyle w:val="10"/>
              <w:ind w:left="1260"/>
              <w:rPr>
                <w:rFonts w:eastAsia="宋体" w:cs="Times New Roman"/>
                <w:color w:val="auto"/>
                <w:highlight w:val="none"/>
              </w:rPr>
            </w:pPr>
          </w:p>
        </w:tc>
        <w:tc>
          <w:tcPr>
            <w:tcW w:w="1569" w:type="dxa"/>
            <w:noWrap w:val="0"/>
            <w:vAlign w:val="top"/>
          </w:tcPr>
          <w:p w14:paraId="7B473D44">
            <w:pPr>
              <w:pStyle w:val="10"/>
              <w:ind w:left="1260"/>
              <w:rPr>
                <w:rFonts w:eastAsia="宋体" w:cs="Times New Roman"/>
                <w:color w:val="auto"/>
                <w:highlight w:val="none"/>
              </w:rPr>
            </w:pPr>
          </w:p>
        </w:tc>
        <w:tc>
          <w:tcPr>
            <w:tcW w:w="878" w:type="dxa"/>
            <w:noWrap w:val="0"/>
            <w:vAlign w:val="top"/>
          </w:tcPr>
          <w:p w14:paraId="24D1F1D5">
            <w:pPr>
              <w:pStyle w:val="10"/>
              <w:ind w:left="1260"/>
              <w:rPr>
                <w:rFonts w:eastAsia="宋体" w:cs="Times New Roman"/>
                <w:color w:val="auto"/>
                <w:highlight w:val="none"/>
              </w:rPr>
            </w:pPr>
          </w:p>
        </w:tc>
      </w:tr>
      <w:tr w14:paraId="3397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6651" w:type="dxa"/>
            <w:gridSpan w:val="5"/>
            <w:vMerge w:val="restart"/>
            <w:noWrap w:val="0"/>
            <w:vAlign w:val="top"/>
          </w:tcPr>
          <w:p w14:paraId="25926B42">
            <w:pPr>
              <w:pStyle w:val="28"/>
              <w:spacing w:line="480" w:lineRule="exact"/>
              <w:ind w:left="1765" w:right="1647"/>
              <w:jc w:val="center"/>
              <w:rPr>
                <w:color w:val="auto"/>
                <w:highlight w:val="none"/>
              </w:rPr>
            </w:pPr>
            <w:r>
              <w:rPr>
                <w:color w:val="auto"/>
                <w:sz w:val="24"/>
                <w:highlight w:val="none"/>
              </w:rPr>
              <w:t>总费用</w:t>
            </w:r>
          </w:p>
        </w:tc>
        <w:tc>
          <w:tcPr>
            <w:tcW w:w="2447" w:type="dxa"/>
            <w:gridSpan w:val="2"/>
            <w:noWrap w:val="0"/>
            <w:vAlign w:val="top"/>
          </w:tcPr>
          <w:p w14:paraId="5A2E2547">
            <w:pPr>
              <w:pStyle w:val="10"/>
              <w:ind w:left="0" w:leftChars="0"/>
              <w:rPr>
                <w:color w:val="auto"/>
                <w:highlight w:val="none"/>
              </w:rPr>
            </w:pPr>
            <w:r>
              <w:rPr>
                <w:color w:val="auto"/>
                <w:sz w:val="24"/>
                <w:highlight w:val="none"/>
              </w:rPr>
              <w:t xml:space="preserve">小写： </w:t>
            </w:r>
          </w:p>
        </w:tc>
      </w:tr>
      <w:tr w14:paraId="53B5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6651" w:type="dxa"/>
            <w:gridSpan w:val="5"/>
            <w:vMerge w:val="continue"/>
            <w:noWrap w:val="0"/>
            <w:vAlign w:val="top"/>
          </w:tcPr>
          <w:p w14:paraId="26DD9646">
            <w:pPr>
              <w:pStyle w:val="10"/>
              <w:ind w:left="1260"/>
              <w:rPr>
                <w:color w:val="auto"/>
                <w:highlight w:val="none"/>
              </w:rPr>
            </w:pPr>
          </w:p>
        </w:tc>
        <w:tc>
          <w:tcPr>
            <w:tcW w:w="2447" w:type="dxa"/>
            <w:gridSpan w:val="2"/>
            <w:noWrap w:val="0"/>
            <w:vAlign w:val="top"/>
          </w:tcPr>
          <w:p w14:paraId="014B341F">
            <w:pPr>
              <w:pStyle w:val="10"/>
              <w:ind w:left="0" w:leftChars="0"/>
              <w:rPr>
                <w:color w:val="auto"/>
                <w:highlight w:val="none"/>
              </w:rPr>
            </w:pPr>
            <w:r>
              <w:rPr>
                <w:color w:val="auto"/>
                <w:sz w:val="24"/>
                <w:highlight w:val="none"/>
              </w:rPr>
              <w:t xml:space="preserve">大写： </w:t>
            </w:r>
          </w:p>
        </w:tc>
      </w:tr>
    </w:tbl>
    <w:p w14:paraId="6C74CB82">
      <w:pPr>
        <w:adjustRightInd w:val="0"/>
        <w:snapToGrid w:val="0"/>
        <w:spacing w:line="560" w:lineRule="exact"/>
        <w:ind w:left="210" w:leftChars="100" w:firstLine="297" w:firstLineChars="124"/>
        <w:rPr>
          <w:rFonts w:ascii="宋体"/>
          <w:color w:val="auto"/>
          <w:sz w:val="24"/>
          <w:highlight w:val="none"/>
        </w:rPr>
      </w:pPr>
      <w:r>
        <w:rPr>
          <w:rFonts w:hint="eastAsia" w:ascii="宋体"/>
          <w:color w:val="auto"/>
          <w:sz w:val="24"/>
          <w:highlight w:val="none"/>
        </w:rPr>
        <w:t>注：本表不够可以扩展</w:t>
      </w:r>
    </w:p>
    <w:p w14:paraId="6B6BA05B">
      <w:pPr>
        <w:pStyle w:val="11"/>
        <w:spacing w:line="480" w:lineRule="exact"/>
        <w:rPr>
          <w:rFonts w:hAnsi="宋体"/>
          <w:color w:val="auto"/>
          <w:sz w:val="24"/>
          <w:highlight w:val="none"/>
        </w:rPr>
      </w:pPr>
      <w:r>
        <w:rPr>
          <w:rFonts w:hint="eastAsia" w:hAnsi="宋体"/>
          <w:color w:val="auto"/>
          <w:sz w:val="24"/>
          <w:highlight w:val="none"/>
        </w:rPr>
        <w:t>法定代表人或其委托代理人签字或盖章:</w:t>
      </w:r>
      <w:r>
        <w:rPr>
          <w:rFonts w:hAnsi="宋体"/>
          <w:color w:val="auto"/>
          <w:sz w:val="24"/>
          <w:highlight w:val="none"/>
          <w:u w:val="single"/>
        </w:rPr>
        <w:tab/>
      </w:r>
      <w:r>
        <w:rPr>
          <w:rFonts w:hint="eastAsia" w:hAnsi="宋体"/>
          <w:color w:val="auto"/>
          <w:sz w:val="24"/>
          <w:highlight w:val="none"/>
          <w:u w:val="single"/>
        </w:rPr>
        <w:t xml:space="preserve">                   </w:t>
      </w:r>
    </w:p>
    <w:p w14:paraId="65C7AC9B">
      <w:pPr>
        <w:pStyle w:val="11"/>
        <w:tabs>
          <w:tab w:val="left" w:pos="6810"/>
        </w:tabs>
        <w:spacing w:line="480" w:lineRule="exact"/>
        <w:rPr>
          <w:rFonts w:hAnsi="宋体"/>
          <w:color w:val="auto"/>
          <w:sz w:val="24"/>
          <w:highlight w:val="none"/>
          <w:u w:val="single"/>
        </w:rPr>
      </w:pPr>
      <w:r>
        <w:rPr>
          <w:rFonts w:hint="eastAsia" w:hAnsi="宋体"/>
          <w:color w:val="auto"/>
          <w:sz w:val="24"/>
          <w:highlight w:val="none"/>
          <w:lang w:eastAsia="zh-CN"/>
        </w:rPr>
        <w:t>供应商</w:t>
      </w:r>
      <w:r>
        <w:rPr>
          <w:rFonts w:hint="eastAsia" w:hAnsi="宋体"/>
          <w:color w:val="auto"/>
          <w:sz w:val="24"/>
          <w:highlight w:val="none"/>
        </w:rPr>
        <w:t>(盖单位章):</w:t>
      </w:r>
      <w:r>
        <w:rPr>
          <w:rFonts w:hAnsi="宋体"/>
          <w:color w:val="auto"/>
          <w:sz w:val="24"/>
          <w:highlight w:val="none"/>
          <w:u w:val="single"/>
        </w:rPr>
        <w:tab/>
      </w:r>
    </w:p>
    <w:p w14:paraId="21951251">
      <w:pPr>
        <w:rPr>
          <w:rFonts w:hint="eastAsia" w:ascii="宋体" w:hAnsi="宋体" w:cs="宋体"/>
          <w:b/>
          <w:bCs/>
          <w:color w:val="auto"/>
          <w:sz w:val="28"/>
          <w:szCs w:val="28"/>
          <w:highlight w:val="none"/>
        </w:rPr>
      </w:pPr>
    </w:p>
    <w:p w14:paraId="4AA6D184">
      <w:pPr>
        <w:pStyle w:val="23"/>
        <w:rPr>
          <w:color w:val="auto"/>
          <w:highlight w:val="none"/>
        </w:rPr>
      </w:pPr>
    </w:p>
    <w:p w14:paraId="1E1CA7CC">
      <w:pPr>
        <w:pStyle w:val="3"/>
        <w:spacing w:line="360" w:lineRule="auto"/>
        <w:ind w:left="774" w:hanging="771" w:hangingChars="257"/>
        <w:rPr>
          <w:rFonts w:hint="eastAsia" w:ascii="宋体" w:hAnsi="宋体" w:eastAsia="宋体" w:cs="宋体"/>
          <w:color w:val="auto"/>
          <w:highlight w:val="none"/>
        </w:rPr>
      </w:pPr>
      <w:bookmarkStart w:id="299" w:name="_Toc31841"/>
      <w:bookmarkStart w:id="300" w:name="_Toc45562505"/>
      <w:bookmarkStart w:id="301" w:name="_Toc46235130"/>
    </w:p>
    <w:p w14:paraId="304DB1F6">
      <w:pPr>
        <w:pStyle w:val="3"/>
        <w:spacing w:line="360" w:lineRule="auto"/>
        <w:ind w:left="774" w:hanging="771" w:hangingChars="257"/>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三、附件表格（上传至电子投标系统，保证内容清晰）</w:t>
      </w:r>
    </w:p>
    <w:p w14:paraId="16DDA4AA">
      <w:pPr>
        <w:pStyle w:val="3"/>
        <w:spacing w:line="360" w:lineRule="auto"/>
        <w:jc w:val="both"/>
        <w:rPr>
          <w:rFonts w:ascii="宋体" w:hAnsi="宋体" w:eastAsia="宋体" w:cs="宋体"/>
          <w:color w:val="auto"/>
          <w:sz w:val="24"/>
          <w:highlight w:val="none"/>
        </w:rPr>
      </w:pPr>
      <w:r>
        <w:rPr>
          <w:rFonts w:hint="eastAsia" w:ascii="宋体" w:hAnsi="宋体" w:eastAsia="宋体" w:cs="宋体"/>
          <w:color w:val="auto"/>
          <w:sz w:val="24"/>
          <w:highlight w:val="none"/>
        </w:rPr>
        <w:t>1.资格证明文件</w:t>
      </w:r>
      <w:bookmarkEnd w:id="299"/>
      <w:bookmarkEnd w:id="300"/>
      <w:bookmarkEnd w:id="301"/>
    </w:p>
    <w:p w14:paraId="4E85EB89">
      <w:pPr>
        <w:pStyle w:val="5"/>
        <w:spacing w:line="360" w:lineRule="auto"/>
        <w:rPr>
          <w:rFonts w:hAnsi="宋体" w:cs="宋体"/>
          <w:color w:val="auto"/>
          <w:highlight w:val="none"/>
          <w:u w:val="none"/>
        </w:rPr>
      </w:pPr>
      <w:bookmarkStart w:id="302" w:name="_Toc46235131"/>
      <w:bookmarkStart w:id="303" w:name="_Toc11226"/>
      <w:bookmarkStart w:id="304" w:name="_Toc518923109"/>
      <w:r>
        <w:rPr>
          <w:rFonts w:hint="eastAsia" w:hAnsi="宋体" w:cs="宋体"/>
          <w:color w:val="auto"/>
          <w:highlight w:val="none"/>
          <w:u w:val="none"/>
        </w:rPr>
        <w:t>2.法人或者其他组织的营业执照等证明文件或自然人的身份证明</w:t>
      </w:r>
      <w:bookmarkEnd w:id="302"/>
      <w:bookmarkEnd w:id="303"/>
      <w:bookmarkEnd w:id="304"/>
    </w:p>
    <w:p w14:paraId="0859FBF5">
      <w:pPr>
        <w:pStyle w:val="5"/>
        <w:spacing w:line="360" w:lineRule="auto"/>
        <w:rPr>
          <w:color w:val="auto"/>
          <w:highlight w:val="none"/>
        </w:rPr>
      </w:pPr>
      <w:bookmarkStart w:id="305" w:name="_Toc2583670"/>
      <w:bookmarkStart w:id="306" w:name="_Toc46235132"/>
      <w:bookmarkStart w:id="307" w:name="_Toc10963"/>
      <w:bookmarkStart w:id="308" w:name="_Toc518923110"/>
      <w:r>
        <w:rPr>
          <w:rFonts w:hint="eastAsia"/>
          <w:color w:val="auto"/>
          <w:highlight w:val="none"/>
          <w:u w:val="none"/>
        </w:rPr>
        <w:t>3.法定代表人或负责人身份证明书</w:t>
      </w:r>
      <w:bookmarkEnd w:id="305"/>
      <w:bookmarkEnd w:id="306"/>
      <w:bookmarkEnd w:id="307"/>
    </w:p>
    <w:p w14:paraId="2E240A0B">
      <w:pPr>
        <w:tabs>
          <w:tab w:val="left" w:pos="5580"/>
        </w:tabs>
        <w:spacing w:line="360" w:lineRule="auto"/>
        <w:ind w:left="1101" w:leftChars="-29" w:hanging="1161"/>
        <w:rPr>
          <w:rFonts w:ascii="宋体" w:hAnsi="宋体"/>
          <w:color w:val="auto"/>
          <w:sz w:val="24"/>
          <w:szCs w:val="20"/>
          <w:highlight w:val="none"/>
        </w:rPr>
      </w:pPr>
      <w:r>
        <w:rPr>
          <w:rFonts w:hint="eastAsia" w:ascii="宋体" w:hAnsi="宋体"/>
          <w:color w:val="auto"/>
          <w:sz w:val="24"/>
          <w:szCs w:val="20"/>
          <w:highlight w:val="none"/>
          <w:u w:val="single"/>
        </w:rPr>
        <w:t>致×××××（采购代理机构）</w:t>
      </w:r>
      <w:r>
        <w:rPr>
          <w:rFonts w:hint="eastAsia" w:ascii="宋体" w:hAnsi="宋体"/>
          <w:color w:val="auto"/>
          <w:sz w:val="24"/>
          <w:szCs w:val="20"/>
          <w:highlight w:val="none"/>
        </w:rPr>
        <w:t>：</w:t>
      </w:r>
    </w:p>
    <w:p w14:paraId="00AA183F">
      <w:pPr>
        <w:tabs>
          <w:tab w:val="left" w:pos="5580"/>
        </w:tabs>
        <w:spacing w:line="360" w:lineRule="auto"/>
        <w:ind w:left="-113" w:leftChars="-54" w:firstLine="480" w:firstLineChars="200"/>
        <w:rPr>
          <w:rFonts w:ascii="宋体" w:hAnsi="宋体"/>
          <w:color w:val="auto"/>
          <w:sz w:val="24"/>
          <w:szCs w:val="20"/>
          <w:highlight w:val="none"/>
        </w:rPr>
      </w:pPr>
      <w:r>
        <w:rPr>
          <w:rFonts w:hint="eastAsia" w:ascii="宋体" w:hAnsi="宋体"/>
          <w:color w:val="auto"/>
          <w:sz w:val="24"/>
          <w:szCs w:val="20"/>
          <w:highlight w:val="none"/>
          <w:u w:val="single"/>
        </w:rPr>
        <w:t>（姓名、性别、年龄、身份证号码）</w:t>
      </w:r>
      <w:r>
        <w:rPr>
          <w:rFonts w:hint="eastAsia" w:ascii="宋体" w:hAnsi="宋体"/>
          <w:color w:val="auto"/>
          <w:sz w:val="24"/>
          <w:szCs w:val="20"/>
          <w:highlight w:val="none"/>
        </w:rPr>
        <w:t>在我单位任</w:t>
      </w:r>
      <w:r>
        <w:rPr>
          <w:rFonts w:hint="eastAsia" w:ascii="宋体" w:hAnsi="宋体"/>
          <w:color w:val="auto"/>
          <w:sz w:val="24"/>
          <w:szCs w:val="20"/>
          <w:highlight w:val="none"/>
          <w:u w:val="single"/>
        </w:rPr>
        <w:t>（董事长、总经理等）</w:t>
      </w:r>
      <w:r>
        <w:rPr>
          <w:rFonts w:hint="eastAsia" w:ascii="宋体" w:hAnsi="宋体"/>
          <w:color w:val="auto"/>
          <w:sz w:val="24"/>
          <w:szCs w:val="20"/>
          <w:highlight w:val="none"/>
        </w:rPr>
        <w:t>职务，是我单位的法定代表人/负责人。</w:t>
      </w:r>
    </w:p>
    <w:p w14:paraId="172F31C5">
      <w:pPr>
        <w:tabs>
          <w:tab w:val="left" w:pos="5580"/>
        </w:tabs>
        <w:spacing w:line="360" w:lineRule="auto"/>
        <w:ind w:left="1079" w:leftChars="257" w:hanging="540"/>
        <w:rPr>
          <w:rFonts w:ascii="宋体" w:hAnsi="宋体"/>
          <w:color w:val="auto"/>
          <w:sz w:val="24"/>
          <w:highlight w:val="none"/>
        </w:rPr>
      </w:pPr>
      <w:r>
        <w:rPr>
          <w:rFonts w:hint="eastAsia" w:ascii="宋体" w:hAnsi="宋体"/>
          <w:color w:val="auto"/>
          <w:sz w:val="24"/>
          <w:szCs w:val="20"/>
          <w:highlight w:val="none"/>
        </w:rPr>
        <w:t>特此证明。</w:t>
      </w:r>
    </w:p>
    <w:p w14:paraId="342DBC50">
      <w:pPr>
        <w:tabs>
          <w:tab w:val="left" w:pos="5580"/>
        </w:tabs>
        <w:spacing w:line="360" w:lineRule="auto"/>
        <w:ind w:left="-539" w:leftChars="-257" w:firstLine="900" w:firstLineChars="375"/>
        <w:rPr>
          <w:rFonts w:ascii="宋体" w:hAnsi="宋体"/>
          <w:color w:val="auto"/>
          <w:sz w:val="24"/>
          <w:szCs w:val="20"/>
          <w:highlight w:val="none"/>
        </w:rPr>
      </w:pPr>
      <w:r>
        <w:rPr>
          <w:rFonts w:hint="eastAsia" w:ascii="宋体" w:hAnsi="宋体"/>
          <w:color w:val="auto"/>
          <w:sz w:val="24"/>
          <w:szCs w:val="20"/>
          <w:highlight w:val="none"/>
        </w:rPr>
        <w:t>供应商（盖公</w:t>
      </w:r>
      <w:r>
        <w:rPr>
          <w:rFonts w:ascii="宋体" w:hAnsi="宋体"/>
          <w:color w:val="auto"/>
          <w:sz w:val="24"/>
          <w:szCs w:val="20"/>
          <w:highlight w:val="none"/>
        </w:rPr>
        <w:t>章）：</w:t>
      </w:r>
    </w:p>
    <w:p w14:paraId="6B16C5AF">
      <w:pPr>
        <w:tabs>
          <w:tab w:val="left" w:pos="5580"/>
        </w:tabs>
        <w:spacing w:line="360" w:lineRule="auto"/>
        <w:ind w:left="-539" w:leftChars="-257" w:firstLine="900" w:firstLineChars="375"/>
        <w:rPr>
          <w:rFonts w:ascii="仿宋_GB2312" w:hAnsi="Courier New" w:eastAsia="仿宋_GB2312"/>
          <w:color w:val="auto"/>
          <w:sz w:val="24"/>
          <w:szCs w:val="20"/>
          <w:highlight w:val="none"/>
        </w:rPr>
      </w:pPr>
      <w:r>
        <w:rPr>
          <w:rFonts w:hint="eastAsia" w:ascii="宋体" w:hAnsi="宋体"/>
          <w:color w:val="auto"/>
          <w:sz w:val="24"/>
          <w:szCs w:val="20"/>
          <w:highlight w:val="none"/>
        </w:rPr>
        <w:t>注：自然人响应文件的无需提供</w:t>
      </w:r>
    </w:p>
    <w:p w14:paraId="6D2420D9">
      <w:pPr>
        <w:pStyle w:val="5"/>
        <w:spacing w:line="360" w:lineRule="auto"/>
        <w:rPr>
          <w:rFonts w:hAnsi="宋体"/>
          <w:color w:val="auto"/>
          <w:highlight w:val="none"/>
        </w:rPr>
      </w:pPr>
      <w:bookmarkStart w:id="309" w:name="_Toc46235133"/>
      <w:bookmarkStart w:id="310" w:name="_Toc26284"/>
      <w:r>
        <w:rPr>
          <w:rFonts w:hint="eastAsia"/>
          <w:color w:val="auto"/>
          <w:highlight w:val="none"/>
          <w:u w:val="none"/>
        </w:rPr>
        <w:t>4.法定代表人或负责人授权书</w:t>
      </w:r>
      <w:bookmarkEnd w:id="308"/>
      <w:bookmarkEnd w:id="309"/>
      <w:bookmarkEnd w:id="310"/>
    </w:p>
    <w:p w14:paraId="285DDB3A">
      <w:pPr>
        <w:tabs>
          <w:tab w:val="left" w:pos="5580"/>
        </w:tabs>
        <w:spacing w:line="360" w:lineRule="auto"/>
        <w:ind w:firstLine="480"/>
        <w:rPr>
          <w:rFonts w:ascii="宋体" w:hAnsi="宋体"/>
          <w:color w:val="auto"/>
          <w:sz w:val="24"/>
          <w:szCs w:val="20"/>
          <w:highlight w:val="none"/>
        </w:rPr>
      </w:pPr>
      <w:r>
        <w:rPr>
          <w:rFonts w:hint="eastAsia" w:ascii="宋体" w:hAnsi="宋体"/>
          <w:color w:val="auto"/>
          <w:sz w:val="24"/>
          <w:szCs w:val="20"/>
          <w:highlight w:val="none"/>
        </w:rPr>
        <w:t>本授权书声明：注册于</w:t>
      </w:r>
      <w:r>
        <w:rPr>
          <w:rFonts w:hint="eastAsia" w:ascii="宋体" w:hAnsi="宋体"/>
          <w:color w:val="auto"/>
          <w:sz w:val="24"/>
          <w:szCs w:val="20"/>
          <w:highlight w:val="none"/>
          <w:u w:val="single"/>
        </w:rPr>
        <w:t>（国家或地区的名称）</w:t>
      </w:r>
      <w:r>
        <w:rPr>
          <w:rFonts w:hint="eastAsia" w:ascii="宋体" w:hAnsi="宋体"/>
          <w:color w:val="auto"/>
          <w:sz w:val="24"/>
          <w:szCs w:val="20"/>
          <w:highlight w:val="none"/>
        </w:rPr>
        <w:t>的（</w:t>
      </w:r>
      <w:r>
        <w:rPr>
          <w:rFonts w:hint="eastAsia" w:ascii="宋体" w:hAnsi="宋体"/>
          <w:i/>
          <w:color w:val="auto"/>
          <w:sz w:val="24"/>
          <w:szCs w:val="20"/>
          <w:highlight w:val="none"/>
          <w:u w:val="single"/>
        </w:rPr>
        <w:t>供应商</w:t>
      </w:r>
      <w:r>
        <w:rPr>
          <w:rFonts w:hint="eastAsia" w:ascii="宋体" w:hAnsi="宋体"/>
          <w:color w:val="auto"/>
          <w:sz w:val="24"/>
          <w:szCs w:val="20"/>
          <w:highlight w:val="none"/>
        </w:rPr>
        <w:t>）的在下面签字的（</w:t>
      </w:r>
      <w:r>
        <w:rPr>
          <w:rFonts w:hint="eastAsia" w:ascii="宋体" w:hAnsi="宋体"/>
          <w:i/>
          <w:color w:val="auto"/>
          <w:sz w:val="24"/>
          <w:szCs w:val="20"/>
          <w:highlight w:val="none"/>
          <w:u w:val="single"/>
        </w:rPr>
        <w:t>法定代表人</w:t>
      </w:r>
      <w:r>
        <w:rPr>
          <w:rFonts w:hint="eastAsia" w:ascii="宋体" w:hAnsi="宋体"/>
          <w:color w:val="auto"/>
          <w:sz w:val="24"/>
          <w:szCs w:val="20"/>
          <w:highlight w:val="none"/>
          <w:u w:val="single"/>
        </w:rPr>
        <w:t>/负责人</w:t>
      </w:r>
      <w:r>
        <w:rPr>
          <w:rFonts w:hint="eastAsia" w:ascii="宋体" w:hAnsi="宋体"/>
          <w:i/>
          <w:color w:val="auto"/>
          <w:sz w:val="24"/>
          <w:szCs w:val="20"/>
          <w:highlight w:val="none"/>
          <w:u w:val="single"/>
        </w:rPr>
        <w:t>姓名、职务</w:t>
      </w:r>
      <w:r>
        <w:rPr>
          <w:rFonts w:hint="eastAsia" w:ascii="宋体" w:hAnsi="宋体"/>
          <w:color w:val="auto"/>
          <w:sz w:val="24"/>
          <w:szCs w:val="20"/>
          <w:highlight w:val="none"/>
        </w:rPr>
        <w:t>）代表我单位授权（</w:t>
      </w:r>
      <w:r>
        <w:rPr>
          <w:rFonts w:hint="eastAsia" w:ascii="宋体" w:hAnsi="宋体"/>
          <w:i/>
          <w:color w:val="auto"/>
          <w:sz w:val="24"/>
          <w:szCs w:val="20"/>
          <w:highlight w:val="none"/>
          <w:u w:val="single"/>
        </w:rPr>
        <w:t>单位名称</w:t>
      </w:r>
      <w:r>
        <w:rPr>
          <w:rFonts w:hint="eastAsia" w:ascii="宋体" w:hAnsi="宋体"/>
          <w:color w:val="auto"/>
          <w:sz w:val="24"/>
          <w:szCs w:val="20"/>
          <w:highlight w:val="none"/>
        </w:rPr>
        <w:t>）的在下面签字的（</w:t>
      </w:r>
      <w:r>
        <w:rPr>
          <w:rFonts w:hint="eastAsia" w:ascii="宋体" w:hAnsi="宋体"/>
          <w:i/>
          <w:color w:val="auto"/>
          <w:sz w:val="24"/>
          <w:szCs w:val="20"/>
          <w:highlight w:val="none"/>
          <w:u w:val="single"/>
        </w:rPr>
        <w:t>被授权人的姓名、职务</w:t>
      </w:r>
      <w:r>
        <w:rPr>
          <w:rFonts w:hint="eastAsia" w:ascii="宋体" w:hAnsi="宋体"/>
          <w:color w:val="auto"/>
          <w:sz w:val="24"/>
          <w:szCs w:val="20"/>
          <w:highlight w:val="none"/>
        </w:rPr>
        <w:t>）为我单位的合法代理人，就（</w:t>
      </w:r>
      <w:r>
        <w:rPr>
          <w:rFonts w:hint="eastAsia" w:ascii="宋体" w:hAnsi="宋体"/>
          <w:i/>
          <w:color w:val="auto"/>
          <w:sz w:val="24"/>
          <w:szCs w:val="20"/>
          <w:highlight w:val="none"/>
          <w:u w:val="single"/>
        </w:rPr>
        <w:t>项目名称</w:t>
      </w:r>
      <w:r>
        <w:rPr>
          <w:rFonts w:hint="eastAsia" w:ascii="宋体" w:hAnsi="宋体"/>
          <w:color w:val="auto"/>
          <w:sz w:val="24"/>
          <w:szCs w:val="20"/>
          <w:highlight w:val="none"/>
        </w:rPr>
        <w:t>）的响应文件，以我单位名义处理一切与之有关的事务。</w:t>
      </w:r>
      <w:r>
        <w:rPr>
          <w:rFonts w:hint="eastAsia" w:ascii="宋体" w:hAnsi="宋体"/>
          <w:color w:val="auto"/>
          <w:sz w:val="24"/>
          <w:szCs w:val="20"/>
          <w:highlight w:val="none"/>
        </w:rPr>
        <w:cr/>
      </w:r>
      <w:r>
        <w:rPr>
          <w:rFonts w:hint="eastAsia" w:ascii="宋体" w:hAnsi="宋体"/>
          <w:color w:val="auto"/>
          <w:sz w:val="24"/>
          <w:szCs w:val="20"/>
          <w:highlight w:val="none"/>
        </w:rPr>
        <w:t>　　</w:t>
      </w:r>
    </w:p>
    <w:p w14:paraId="7FFFA957">
      <w:pPr>
        <w:tabs>
          <w:tab w:val="left" w:pos="5580"/>
        </w:tabs>
        <w:spacing w:line="360" w:lineRule="auto"/>
        <w:ind w:left="482" w:leftChars="201" w:hanging="60" w:hangingChars="25"/>
        <w:rPr>
          <w:rFonts w:hint="eastAsia" w:ascii="宋体" w:hAnsi="宋体"/>
          <w:color w:val="auto"/>
          <w:sz w:val="24"/>
          <w:szCs w:val="20"/>
          <w:highlight w:val="none"/>
        </w:rPr>
      </w:pPr>
      <w:r>
        <w:rPr>
          <w:rFonts w:hint="eastAsia" w:ascii="宋体" w:hAnsi="宋体"/>
          <w:color w:val="auto"/>
          <w:sz w:val="24"/>
          <w:szCs w:val="20"/>
          <w:highlight w:val="none"/>
        </w:rPr>
        <w:t>本授权书于年月日签字生效</w:t>
      </w:r>
      <w:r>
        <w:rPr>
          <w:rFonts w:hint="eastAsia" w:ascii="宋体" w:hAnsi="宋体"/>
          <w:color w:val="auto"/>
          <w:sz w:val="24"/>
          <w:szCs w:val="20"/>
          <w:highlight w:val="none"/>
          <w:lang w:eastAsia="zh-CN"/>
        </w:rPr>
        <w:t>，</w:t>
      </w:r>
      <w:r>
        <w:rPr>
          <w:rFonts w:hint="eastAsia" w:ascii="宋体" w:hAnsi="宋体"/>
          <w:color w:val="auto"/>
          <w:sz w:val="24"/>
          <w:szCs w:val="20"/>
          <w:highlight w:val="none"/>
        </w:rPr>
        <w:t>特此声明。</w:t>
      </w:r>
    </w:p>
    <w:p w14:paraId="66FA127B">
      <w:pPr>
        <w:tabs>
          <w:tab w:val="left" w:pos="5580"/>
        </w:tabs>
        <w:spacing w:line="360" w:lineRule="auto"/>
        <w:ind w:left="482" w:leftChars="201" w:hanging="60" w:hangingChars="25"/>
        <w:rPr>
          <w:rFonts w:ascii="宋体" w:hAnsi="宋体"/>
          <w:color w:val="auto"/>
          <w:sz w:val="24"/>
          <w:szCs w:val="20"/>
          <w:highlight w:val="none"/>
          <w:u w:val="single"/>
        </w:rPr>
      </w:pPr>
      <w:r>
        <w:rPr>
          <w:rFonts w:hint="eastAsia" w:ascii="宋体" w:hAnsi="宋体"/>
          <w:color w:val="auto"/>
          <w:sz w:val="24"/>
          <w:szCs w:val="20"/>
          <w:highlight w:val="none"/>
        </w:rPr>
        <w:t>供应商（盖</w:t>
      </w:r>
      <w:r>
        <w:rPr>
          <w:rFonts w:ascii="宋体" w:hAnsi="宋体"/>
          <w:color w:val="auto"/>
          <w:sz w:val="24"/>
          <w:szCs w:val="20"/>
          <w:highlight w:val="none"/>
        </w:rPr>
        <w:t>单位</w:t>
      </w:r>
      <w:r>
        <w:rPr>
          <w:rFonts w:hint="eastAsia" w:ascii="宋体" w:hAnsi="宋体"/>
          <w:color w:val="auto"/>
          <w:sz w:val="24"/>
          <w:szCs w:val="20"/>
          <w:highlight w:val="none"/>
        </w:rPr>
        <w:t>公</w:t>
      </w:r>
      <w:r>
        <w:rPr>
          <w:rFonts w:ascii="宋体" w:hAnsi="宋体"/>
          <w:color w:val="auto"/>
          <w:sz w:val="24"/>
          <w:szCs w:val="20"/>
          <w:highlight w:val="none"/>
        </w:rPr>
        <w:t>章）：</w:t>
      </w:r>
    </w:p>
    <w:p w14:paraId="6CB7FD5A">
      <w:pPr>
        <w:tabs>
          <w:tab w:val="left" w:pos="5580"/>
        </w:tabs>
        <w:spacing w:line="360" w:lineRule="auto"/>
        <w:ind w:left="-539" w:leftChars="-257" w:firstLine="900" w:firstLineChars="375"/>
        <w:rPr>
          <w:rFonts w:ascii="宋体" w:hAnsi="宋体"/>
          <w:color w:val="auto"/>
          <w:sz w:val="24"/>
          <w:szCs w:val="20"/>
          <w:highlight w:val="none"/>
          <w:u w:val="single"/>
        </w:rPr>
      </w:pPr>
      <w:r>
        <w:rPr>
          <w:rFonts w:hint="eastAsia" w:ascii="宋体" w:hAnsi="宋体"/>
          <w:color w:val="auto"/>
          <w:sz w:val="24"/>
          <w:szCs w:val="20"/>
          <w:highlight w:val="none"/>
        </w:rPr>
        <w:t>法定代表人/负责人(</w:t>
      </w:r>
      <w:r>
        <w:rPr>
          <w:rFonts w:ascii="宋体" w:hAnsi="宋体"/>
          <w:color w:val="auto"/>
          <w:sz w:val="24"/>
          <w:szCs w:val="20"/>
          <w:highlight w:val="none"/>
        </w:rPr>
        <w:t>签</w:t>
      </w:r>
      <w:r>
        <w:rPr>
          <w:rFonts w:hint="eastAsia" w:ascii="宋体" w:hAnsi="宋体"/>
          <w:color w:val="auto"/>
          <w:sz w:val="24"/>
          <w:szCs w:val="20"/>
          <w:highlight w:val="none"/>
        </w:rPr>
        <w:t>章)</w:t>
      </w:r>
      <w:r>
        <w:rPr>
          <w:rFonts w:ascii="宋体" w:hAnsi="宋体"/>
          <w:color w:val="auto"/>
          <w:sz w:val="24"/>
          <w:szCs w:val="20"/>
          <w:highlight w:val="none"/>
        </w:rPr>
        <w:t>：</w:t>
      </w:r>
    </w:p>
    <w:p w14:paraId="3101D9A5">
      <w:pPr>
        <w:tabs>
          <w:tab w:val="left" w:pos="5580"/>
        </w:tabs>
        <w:spacing w:line="360" w:lineRule="auto"/>
        <w:ind w:left="-539" w:leftChars="-257" w:firstLine="900" w:firstLineChars="375"/>
        <w:rPr>
          <w:rFonts w:ascii="宋体" w:hAnsi="宋体"/>
          <w:color w:val="auto"/>
          <w:sz w:val="24"/>
          <w:szCs w:val="20"/>
          <w:highlight w:val="none"/>
          <w:u w:val="single"/>
        </w:rPr>
      </w:pPr>
      <w:r>
        <w:rPr>
          <w:rFonts w:ascii="宋体" w:hAnsi="宋体"/>
          <w:color w:val="auto"/>
          <w:sz w:val="24"/>
          <w:szCs w:val="20"/>
          <w:highlight w:val="none"/>
        </w:rPr>
        <w:t>法定代表人/负责人</w:t>
      </w:r>
      <w:r>
        <w:rPr>
          <w:rFonts w:hint="eastAsia" w:ascii="宋体" w:hAnsi="宋体"/>
          <w:color w:val="auto"/>
          <w:sz w:val="24"/>
          <w:szCs w:val="20"/>
          <w:highlight w:val="none"/>
        </w:rPr>
        <w:t>身份证</w:t>
      </w:r>
      <w:r>
        <w:rPr>
          <w:rFonts w:ascii="宋体" w:hAnsi="宋体"/>
          <w:color w:val="auto"/>
          <w:sz w:val="24"/>
          <w:szCs w:val="20"/>
          <w:highlight w:val="none"/>
        </w:rPr>
        <w:t>号码</w:t>
      </w:r>
      <w:r>
        <w:rPr>
          <w:rFonts w:hint="eastAsia" w:ascii="宋体" w:hAnsi="宋体"/>
          <w:color w:val="auto"/>
          <w:sz w:val="24"/>
          <w:szCs w:val="20"/>
          <w:highlight w:val="none"/>
        </w:rPr>
        <w:t>：</w:t>
      </w:r>
    </w:p>
    <w:p w14:paraId="06DBD422">
      <w:pPr>
        <w:tabs>
          <w:tab w:val="left" w:pos="5580"/>
        </w:tabs>
        <w:spacing w:line="360" w:lineRule="auto"/>
        <w:ind w:firstLine="360" w:firstLineChars="150"/>
        <w:rPr>
          <w:rFonts w:ascii="宋体" w:hAnsi="宋体"/>
          <w:color w:val="auto"/>
          <w:sz w:val="24"/>
          <w:szCs w:val="20"/>
          <w:highlight w:val="none"/>
        </w:rPr>
      </w:pPr>
      <w:r>
        <w:rPr>
          <w:rFonts w:ascii="宋体" w:hAnsi="宋体"/>
          <w:color w:val="auto"/>
          <w:sz w:val="24"/>
          <w:szCs w:val="20"/>
          <w:highlight w:val="none"/>
        </w:rPr>
        <w:t>委托代理人</w:t>
      </w:r>
      <w:r>
        <w:rPr>
          <w:rFonts w:hint="eastAsia" w:ascii="宋体" w:hAnsi="宋体"/>
          <w:color w:val="auto"/>
          <w:sz w:val="24"/>
          <w:szCs w:val="20"/>
          <w:highlight w:val="none"/>
        </w:rPr>
        <w:t>身份证</w:t>
      </w:r>
      <w:r>
        <w:rPr>
          <w:rFonts w:ascii="宋体" w:hAnsi="宋体"/>
          <w:color w:val="auto"/>
          <w:sz w:val="24"/>
          <w:szCs w:val="20"/>
          <w:highlight w:val="none"/>
        </w:rPr>
        <w:t>号码</w:t>
      </w:r>
      <w:r>
        <w:rPr>
          <w:rFonts w:hint="eastAsia" w:ascii="宋体" w:hAnsi="宋体"/>
          <w:color w:val="auto"/>
          <w:sz w:val="24"/>
          <w:szCs w:val="20"/>
          <w:highlight w:val="none"/>
        </w:rPr>
        <w:t>：</w:t>
      </w:r>
    </w:p>
    <w:p w14:paraId="196EF192">
      <w:pPr>
        <w:spacing w:line="360" w:lineRule="auto"/>
        <w:ind w:left="120" w:right="-20"/>
        <w:jc w:val="left"/>
        <w:rPr>
          <w:rFonts w:ascii="宋体" w:hAnsi="宋体" w:cs="宋体"/>
          <w:color w:val="auto"/>
          <w:kern w:val="0"/>
          <w:position w:val="-3"/>
          <w:sz w:val="24"/>
          <w:highlight w:val="none"/>
        </w:rPr>
      </w:pPr>
    </w:p>
    <w:p w14:paraId="00174F1E">
      <w:pPr>
        <w:spacing w:line="360" w:lineRule="auto"/>
        <w:ind w:left="119" w:leftChars="57" w:right="-20" w:firstLine="240" w:firstLineChars="100"/>
        <w:jc w:val="left"/>
        <w:rPr>
          <w:rFonts w:hint="eastAsia" w:ascii="宋体" w:hAnsi="宋体" w:cs="宋体"/>
          <w:color w:val="auto"/>
          <w:kern w:val="0"/>
          <w:sz w:val="24"/>
          <w:highlight w:val="none"/>
        </w:rPr>
      </w:pPr>
      <w:r>
        <w:rPr>
          <w:rFonts w:ascii="宋体" w:hAnsi="宋体" w:cs="宋体"/>
          <w:color w:val="auto"/>
          <w:kern w:val="0"/>
          <w:position w:val="-3"/>
          <w:sz w:val="24"/>
          <w:highlight w:val="none"/>
        </w:rPr>
        <w:t>注：自然人响应文件的无需提供</w:t>
      </w:r>
      <w:r>
        <w:rPr>
          <w:rFonts w:hint="eastAsia" w:ascii="宋体" w:hAnsi="宋体" w:cs="宋体"/>
          <w:color w:val="auto"/>
          <w:kern w:val="0"/>
          <w:position w:val="-3"/>
          <w:sz w:val="24"/>
          <w:highlight w:val="none"/>
        </w:rPr>
        <w:t>。</w:t>
      </w:r>
    </w:p>
    <w:p w14:paraId="2B3EE800">
      <w:pPr>
        <w:tabs>
          <w:tab w:val="left" w:pos="5580"/>
        </w:tabs>
        <w:spacing w:line="360" w:lineRule="auto"/>
        <w:ind w:firstLine="360" w:firstLineChars="150"/>
        <w:rPr>
          <w:rFonts w:ascii="宋体" w:hAnsi="宋体"/>
          <w:b/>
          <w:color w:val="auto"/>
          <w:kern w:val="0"/>
          <w:sz w:val="24"/>
          <w:szCs w:val="20"/>
          <w:highlight w:val="none"/>
        </w:rPr>
      </w:pPr>
    </w:p>
    <w:p w14:paraId="3DCACADA">
      <w:pPr>
        <w:pStyle w:val="5"/>
        <w:spacing w:line="360" w:lineRule="auto"/>
        <w:rPr>
          <w:color w:val="auto"/>
          <w:highlight w:val="none"/>
          <w:u w:val="none"/>
        </w:rPr>
      </w:pPr>
      <w:bookmarkStart w:id="311" w:name="_Toc46235134"/>
      <w:bookmarkStart w:id="312" w:name="_Toc9728"/>
      <w:bookmarkStart w:id="313" w:name="_Toc518923111"/>
      <w:r>
        <w:rPr>
          <w:rFonts w:hint="eastAsia"/>
          <w:color w:val="auto"/>
          <w:highlight w:val="none"/>
          <w:u w:val="none"/>
        </w:rPr>
        <w:t>5.具有良好的商业信誉和健全的财务会计制度的</w:t>
      </w:r>
      <w:bookmarkEnd w:id="311"/>
      <w:r>
        <w:rPr>
          <w:rFonts w:hint="eastAsia"/>
          <w:color w:val="auto"/>
          <w:highlight w:val="none"/>
        </w:rPr>
        <w:t>证明文件</w:t>
      </w:r>
      <w:bookmarkEnd w:id="312"/>
    </w:p>
    <w:p w14:paraId="53D6BF91">
      <w:pPr>
        <w:tabs>
          <w:tab w:val="left" w:pos="5580"/>
        </w:tabs>
        <w:spacing w:line="360" w:lineRule="auto"/>
        <w:ind w:left="1079" w:leftChars="257" w:hanging="540"/>
        <w:rPr>
          <w:rFonts w:ascii="宋体" w:hAnsi="宋体"/>
          <w:color w:val="auto"/>
          <w:sz w:val="24"/>
          <w:highlight w:val="none"/>
        </w:rPr>
      </w:pPr>
      <w:r>
        <w:rPr>
          <w:rFonts w:hint="eastAsia" w:ascii="宋体" w:hAnsi="宋体"/>
          <w:color w:val="auto"/>
          <w:sz w:val="24"/>
          <w:highlight w:val="none"/>
        </w:rPr>
        <w:t>说明：</w:t>
      </w:r>
    </w:p>
    <w:p w14:paraId="77B4FB79">
      <w:pPr>
        <w:tabs>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1、如提供本单位上年度的审计报告原件扫描件。</w:t>
      </w:r>
    </w:p>
    <w:p w14:paraId="2ADC8204">
      <w:pPr>
        <w:tabs>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2、如提供银行出具的证明文件。银行证明文件可提供原件扫描件，也可提供银行在开标日前三个月内开具证明文件的原件扫描件。招标人保留审核原件的权利。银行出具的证明文件应能说明该</w:t>
      </w:r>
      <w:r>
        <w:rPr>
          <w:rFonts w:hint="eastAsia" w:ascii="宋体" w:hAnsi="宋体"/>
          <w:color w:val="auto"/>
          <w:sz w:val="24"/>
          <w:highlight w:val="none"/>
          <w:lang w:eastAsia="zh-CN"/>
        </w:rPr>
        <w:t>供应商</w:t>
      </w:r>
      <w:r>
        <w:rPr>
          <w:rFonts w:hint="eastAsia" w:ascii="宋体" w:hAnsi="宋体"/>
          <w:color w:val="auto"/>
          <w:sz w:val="24"/>
          <w:highlight w:val="none"/>
        </w:rPr>
        <w:t>与银行之间业务往来正常，企业信誉良好等。</w:t>
      </w:r>
    </w:p>
    <w:p w14:paraId="2498EFB9">
      <w:pPr>
        <w:tabs>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3、如果是联合体投标，联合体各方均需提供上述证明。</w:t>
      </w:r>
    </w:p>
    <w:p w14:paraId="34762ED6">
      <w:pPr>
        <w:tabs>
          <w:tab w:val="left" w:pos="5580"/>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4、如果采用承诺方式，资格承诺函（见附件）</w:t>
      </w:r>
    </w:p>
    <w:p w14:paraId="01563BB8">
      <w:pPr>
        <w:pStyle w:val="5"/>
        <w:spacing w:line="360" w:lineRule="auto"/>
        <w:rPr>
          <w:rFonts w:ascii="仿宋_GB2312" w:eastAsia="仿宋_GB2312"/>
          <w:color w:val="auto"/>
          <w:highlight w:val="none"/>
          <w:u w:val="none"/>
        </w:rPr>
      </w:pPr>
      <w:bookmarkStart w:id="314" w:name="_Toc46235135"/>
      <w:bookmarkStart w:id="315" w:name="_Toc30678"/>
      <w:r>
        <w:rPr>
          <w:rFonts w:hint="eastAsia"/>
          <w:color w:val="auto"/>
          <w:highlight w:val="none"/>
          <w:u w:val="none"/>
        </w:rPr>
        <w:t>6.依法缴纳税收</w:t>
      </w:r>
      <w:r>
        <w:rPr>
          <w:rFonts w:hint="eastAsia"/>
          <w:color w:val="auto"/>
          <w:highlight w:val="none"/>
          <w:u w:val="none"/>
          <w:lang w:val="en-US" w:eastAsia="zh-CN"/>
        </w:rPr>
        <w:t>和</w:t>
      </w:r>
      <w:r>
        <w:rPr>
          <w:rFonts w:hint="eastAsia"/>
          <w:color w:val="auto"/>
          <w:highlight w:val="none"/>
          <w:u w:val="none"/>
        </w:rPr>
        <w:t>社会保障资金</w:t>
      </w:r>
      <w:bookmarkEnd w:id="314"/>
      <w:r>
        <w:rPr>
          <w:rFonts w:hint="eastAsia"/>
          <w:color w:val="auto"/>
          <w:highlight w:val="none"/>
          <w:u w:val="none"/>
          <w:lang w:val="en-US" w:eastAsia="zh-CN"/>
        </w:rPr>
        <w:t>承诺函</w:t>
      </w:r>
      <w:bookmarkEnd w:id="315"/>
    </w:p>
    <w:p w14:paraId="0218CD35">
      <w:pPr>
        <w:tabs>
          <w:tab w:val="left" w:pos="5580"/>
        </w:tabs>
        <w:spacing w:line="360" w:lineRule="auto"/>
        <w:ind w:left="1259" w:leftChars="257" w:hanging="720" w:hangingChars="300"/>
        <w:rPr>
          <w:rFonts w:ascii="宋体" w:hAnsi="宋体"/>
          <w:color w:val="auto"/>
          <w:sz w:val="24"/>
          <w:highlight w:val="none"/>
        </w:rPr>
      </w:pPr>
      <w:bookmarkStart w:id="316" w:name="_Toc518923112"/>
      <w:bookmarkStart w:id="317" w:name="_Toc46235136"/>
      <w:bookmarkStart w:id="318" w:name="_Toc22927"/>
      <w:r>
        <w:rPr>
          <w:rFonts w:hint="eastAsia" w:ascii="宋体" w:hAnsi="宋体"/>
          <w:color w:val="auto"/>
          <w:sz w:val="24"/>
          <w:highlight w:val="none"/>
        </w:rPr>
        <w:t>说明：</w:t>
      </w:r>
    </w:p>
    <w:p w14:paraId="1490732D">
      <w:pPr>
        <w:pStyle w:val="11"/>
        <w:tabs>
          <w:tab w:val="left" w:pos="5580"/>
        </w:tabs>
        <w:spacing w:line="360" w:lineRule="auto"/>
        <w:ind w:left="540"/>
        <w:rPr>
          <w:rFonts w:hAnsi="宋体"/>
          <w:color w:val="auto"/>
          <w:sz w:val="24"/>
          <w:highlight w:val="none"/>
        </w:rPr>
      </w:pPr>
      <w:r>
        <w:rPr>
          <w:rFonts w:hint="eastAsia" w:hAnsi="宋体"/>
          <w:color w:val="auto"/>
          <w:sz w:val="24"/>
          <w:highlight w:val="none"/>
        </w:rPr>
        <w:t>1.按照</w:t>
      </w:r>
      <w:r>
        <w:rPr>
          <w:rFonts w:hint="eastAsia" w:hAnsi="宋体"/>
          <w:color w:val="auto"/>
          <w:sz w:val="24"/>
          <w:highlight w:val="none"/>
          <w:u w:val="single"/>
        </w:rPr>
        <w:t>供应商须知资料表</w:t>
      </w:r>
      <w:r>
        <w:rPr>
          <w:rFonts w:hint="eastAsia" w:hAnsi="宋体"/>
          <w:color w:val="auto"/>
          <w:sz w:val="24"/>
          <w:highlight w:val="none"/>
        </w:rPr>
        <w:t>中的规定提供复印件。</w:t>
      </w:r>
    </w:p>
    <w:p w14:paraId="49D2CD86">
      <w:pPr>
        <w:pStyle w:val="11"/>
        <w:tabs>
          <w:tab w:val="left" w:pos="5580"/>
        </w:tabs>
        <w:spacing w:line="360" w:lineRule="auto"/>
        <w:ind w:left="1079" w:leftChars="257" w:hanging="540"/>
        <w:rPr>
          <w:rFonts w:hAnsi="宋体"/>
          <w:color w:val="auto"/>
          <w:sz w:val="24"/>
          <w:highlight w:val="none"/>
        </w:rPr>
      </w:pPr>
      <w:r>
        <w:rPr>
          <w:rFonts w:hint="eastAsia" w:hAnsi="宋体"/>
          <w:color w:val="auto"/>
          <w:sz w:val="24"/>
          <w:highlight w:val="none"/>
        </w:rPr>
        <w:t>2.复印件上应加盖本单位章。</w:t>
      </w:r>
    </w:p>
    <w:p w14:paraId="43140CDF">
      <w:pPr>
        <w:tabs>
          <w:tab w:val="left" w:pos="5580"/>
        </w:tabs>
        <w:spacing w:line="360" w:lineRule="auto"/>
        <w:ind w:left="1079" w:leftChars="257" w:hanging="540"/>
        <w:rPr>
          <w:rFonts w:ascii="宋体" w:hAnsi="宋体"/>
          <w:color w:val="auto"/>
          <w:sz w:val="24"/>
          <w:highlight w:val="none"/>
        </w:rPr>
      </w:pPr>
      <w:r>
        <w:rPr>
          <w:rFonts w:hint="eastAsia" w:ascii="宋体" w:hAnsi="宋体"/>
          <w:color w:val="auto"/>
          <w:sz w:val="24"/>
          <w:highlight w:val="none"/>
        </w:rPr>
        <w:t>3.如果是联合体响应文件，联合体各方均需提供上述证明。</w:t>
      </w:r>
    </w:p>
    <w:p w14:paraId="2D3331EA">
      <w:pPr>
        <w:tabs>
          <w:tab w:val="left" w:pos="5580"/>
        </w:tabs>
        <w:spacing w:line="360" w:lineRule="auto"/>
        <w:ind w:left="1079" w:leftChars="257" w:hanging="54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4．如果采用承诺方式，资格承诺函（见附件）</w:t>
      </w:r>
    </w:p>
    <w:p w14:paraId="03EEAEBE">
      <w:pPr>
        <w:pStyle w:val="5"/>
        <w:spacing w:line="360" w:lineRule="auto"/>
        <w:jc w:val="both"/>
        <w:rPr>
          <w:color w:val="auto"/>
          <w:highlight w:val="none"/>
        </w:rPr>
      </w:pPr>
      <w:r>
        <w:rPr>
          <w:rFonts w:hint="eastAsia" w:ascii="宋体" w:eastAsia="宋体" w:cs="Times New Roman"/>
          <w:color w:val="auto"/>
          <w:highlight w:val="none"/>
          <w:u w:val="none"/>
        </w:rPr>
        <w:t>7.参加政府采购活动前3年内</w:t>
      </w:r>
      <w:bookmarkEnd w:id="316"/>
      <w:bookmarkStart w:id="319" w:name="_Toc518923113"/>
      <w:r>
        <w:rPr>
          <w:rFonts w:hint="eastAsia" w:ascii="宋体" w:eastAsia="宋体" w:cs="Times New Roman"/>
          <w:color w:val="auto"/>
          <w:highlight w:val="none"/>
          <w:u w:val="none"/>
        </w:rPr>
        <w:t>在经营活动中没有重大违法记录的</w:t>
      </w:r>
      <w:bookmarkEnd w:id="319"/>
      <w:r>
        <w:rPr>
          <w:rFonts w:hint="eastAsia" w:ascii="宋体" w:eastAsia="宋体" w:cs="Times New Roman"/>
          <w:color w:val="auto"/>
          <w:highlight w:val="none"/>
          <w:u w:val="none"/>
        </w:rPr>
        <w:t>书面声明</w:t>
      </w:r>
      <w:bookmarkEnd w:id="317"/>
      <w:bookmarkEnd w:id="318"/>
    </w:p>
    <w:p w14:paraId="2A8855EE">
      <w:pPr>
        <w:pStyle w:val="11"/>
        <w:spacing w:line="360" w:lineRule="auto"/>
        <w:ind w:firstLine="420" w:firstLineChars="200"/>
        <w:rPr>
          <w:rFonts w:hAnsi="宋体"/>
          <w:color w:val="auto"/>
          <w:highlight w:val="none"/>
        </w:rPr>
      </w:pPr>
      <w:r>
        <w:rPr>
          <w:rFonts w:hint="eastAsia" w:hAnsi="宋体"/>
          <w:color w:val="auto"/>
          <w:highlight w:val="none"/>
        </w:rPr>
        <w:t>本单位郑重声明：</w:t>
      </w:r>
    </w:p>
    <w:p w14:paraId="6BFF5C3D">
      <w:pPr>
        <w:pStyle w:val="11"/>
        <w:spacing w:line="360" w:lineRule="auto"/>
        <w:ind w:firstLine="420" w:firstLineChars="200"/>
        <w:rPr>
          <w:rFonts w:hAnsi="宋体" w:cs="MingLiU_HKSCS"/>
          <w:color w:val="auto"/>
          <w:highlight w:val="none"/>
        </w:rPr>
      </w:pPr>
      <w:r>
        <w:rPr>
          <w:rFonts w:hint="eastAsia" w:hAnsi="宋体"/>
          <w:color w:val="auto"/>
          <w:highlight w:val="none"/>
        </w:rPr>
        <w:t>我单位在参加采购活动前三年内在经营活动中没有《政府采购法》第二十二条第一款第</w:t>
      </w:r>
      <w:r>
        <w:rPr>
          <w:rFonts w:hAnsi="宋体"/>
          <w:color w:val="auto"/>
          <w:highlight w:val="none"/>
        </w:rPr>
        <w:t>(</w:t>
      </w:r>
      <w:r>
        <w:rPr>
          <w:rFonts w:hint="eastAsia" w:hAnsi="宋体"/>
          <w:color w:val="auto"/>
          <w:highlight w:val="none"/>
        </w:rPr>
        <w:t>五</w:t>
      </w:r>
      <w:r>
        <w:rPr>
          <w:rFonts w:hAnsi="宋体"/>
          <w:color w:val="auto"/>
          <w:highlight w:val="none"/>
        </w:rPr>
        <w:t>)</w:t>
      </w:r>
      <w:r>
        <w:rPr>
          <w:rFonts w:hint="eastAsia" w:hAnsi="宋体"/>
          <w:color w:val="auto"/>
          <w:highlight w:val="none"/>
        </w:rPr>
        <w:t>项所称重大违法记录</w:t>
      </w:r>
      <w:r>
        <w:rPr>
          <w:rFonts w:hint="eastAsia" w:hAnsi="宋体" w:cs="MingLiU_HKSCS"/>
          <w:color w:val="auto"/>
          <w:highlight w:val="none"/>
        </w:rPr>
        <w:t>，</w:t>
      </w:r>
      <w:r>
        <w:rPr>
          <w:rFonts w:hint="eastAsia" w:hAnsi="宋体"/>
          <w:color w:val="auto"/>
          <w:highlight w:val="none"/>
        </w:rPr>
        <w:t>包括：</w:t>
      </w:r>
    </w:p>
    <w:p w14:paraId="6739BF6C">
      <w:pPr>
        <w:pStyle w:val="11"/>
        <w:spacing w:line="360" w:lineRule="auto"/>
        <w:ind w:firstLine="420" w:firstLineChars="200"/>
        <w:rPr>
          <w:rFonts w:hAnsi="宋体" w:cs="MingLiU_HKSCS"/>
          <w:color w:val="auto"/>
          <w:highlight w:val="none"/>
        </w:rPr>
      </w:pPr>
      <w:r>
        <w:rPr>
          <w:rFonts w:hint="eastAsia" w:hAnsi="宋体"/>
          <w:color w:val="auto"/>
          <w:highlight w:val="none"/>
        </w:rPr>
        <w:t>我单位或者其法定代表人、董事、监事、高级管理人员未因经营活动中的违法行为受到刑事处罚或者责令停产停业、吊销许可证或者执照、较大数额罚款等行政处罚。</w:t>
      </w:r>
    </w:p>
    <w:p w14:paraId="649A68E1">
      <w:pPr>
        <w:pStyle w:val="11"/>
        <w:spacing w:line="360" w:lineRule="auto"/>
        <w:ind w:firstLine="420" w:firstLineChars="200"/>
        <w:rPr>
          <w:rFonts w:hAnsi="宋体" w:cs="MingLiU_HKSCS"/>
          <w:color w:val="auto"/>
          <w:highlight w:val="none"/>
        </w:rPr>
      </w:pPr>
      <w:r>
        <w:rPr>
          <w:rFonts w:hint="eastAsia" w:hAnsi="宋体"/>
          <w:color w:val="auto"/>
          <w:highlight w:val="none"/>
        </w:rPr>
        <w:t>特此声明！</w:t>
      </w:r>
    </w:p>
    <w:p w14:paraId="073EAF2C">
      <w:pPr>
        <w:pStyle w:val="11"/>
        <w:spacing w:line="360" w:lineRule="auto"/>
        <w:ind w:firstLine="420" w:firstLineChars="200"/>
        <w:rPr>
          <w:rFonts w:hAnsi="宋体" w:cs="MingLiU_HKSCS"/>
          <w:color w:val="auto"/>
          <w:highlight w:val="none"/>
        </w:rPr>
      </w:pPr>
    </w:p>
    <w:p w14:paraId="19606400">
      <w:pPr>
        <w:pStyle w:val="11"/>
        <w:spacing w:line="360" w:lineRule="auto"/>
        <w:ind w:firstLine="420" w:firstLineChars="200"/>
        <w:rPr>
          <w:rFonts w:hAnsi="宋体" w:cs="MingLiU_HKSCS"/>
          <w:color w:val="auto"/>
          <w:highlight w:val="none"/>
        </w:rPr>
      </w:pPr>
      <w:r>
        <w:rPr>
          <w:rFonts w:hint="eastAsia" w:hAnsi="宋体"/>
          <w:color w:val="auto"/>
          <w:highlight w:val="none"/>
        </w:rPr>
        <w:t>供应商名称</w:t>
      </w:r>
      <w:r>
        <w:rPr>
          <w:rFonts w:hAnsi="宋体"/>
          <w:color w:val="auto"/>
          <w:highlight w:val="none"/>
        </w:rPr>
        <w:t>(</w:t>
      </w:r>
      <w:r>
        <w:rPr>
          <w:rFonts w:hint="eastAsia" w:hAnsi="宋体"/>
          <w:color w:val="auto"/>
          <w:highlight w:val="none"/>
        </w:rPr>
        <w:t>公章</w:t>
      </w:r>
      <w:r>
        <w:rPr>
          <w:rFonts w:hAnsi="宋体"/>
          <w:color w:val="auto"/>
          <w:highlight w:val="none"/>
        </w:rPr>
        <w:t>)</w:t>
      </w:r>
      <w:r>
        <w:rPr>
          <w:rFonts w:hint="eastAsia" w:hAnsi="宋体"/>
          <w:color w:val="auto"/>
          <w:highlight w:val="none"/>
        </w:rPr>
        <w:t>：</w:t>
      </w:r>
      <w:r>
        <w:rPr>
          <w:rFonts w:hAnsi="宋体"/>
          <w:color w:val="auto"/>
          <w:highlight w:val="none"/>
        </w:rPr>
        <w:t>______________</w:t>
      </w:r>
    </w:p>
    <w:p w14:paraId="2C8FDF0B">
      <w:pPr>
        <w:pStyle w:val="11"/>
        <w:spacing w:line="360" w:lineRule="auto"/>
        <w:ind w:firstLine="420" w:firstLineChars="200"/>
        <w:rPr>
          <w:rFonts w:hAnsi="宋体" w:cs="MingLiU_HKSCS"/>
          <w:color w:val="auto"/>
          <w:highlight w:val="none"/>
        </w:rPr>
      </w:pPr>
      <w:r>
        <w:rPr>
          <w:rFonts w:hint="eastAsia" w:hAnsi="宋体"/>
          <w:color w:val="auto"/>
          <w:highlight w:val="none"/>
        </w:rPr>
        <w:t>法定代表人或负责人或其授权代表</w:t>
      </w:r>
      <w:r>
        <w:rPr>
          <w:rFonts w:hAnsi="宋体"/>
          <w:color w:val="auto"/>
          <w:highlight w:val="none"/>
        </w:rPr>
        <w:t>(</w:t>
      </w:r>
      <w:r>
        <w:rPr>
          <w:rFonts w:hint="eastAsia" w:hAnsi="宋体"/>
          <w:color w:val="auto"/>
          <w:highlight w:val="none"/>
        </w:rPr>
        <w:t>签字或盖章</w:t>
      </w:r>
      <w:r>
        <w:rPr>
          <w:rFonts w:hAnsi="宋体"/>
          <w:color w:val="auto"/>
          <w:highlight w:val="none"/>
        </w:rPr>
        <w:t>)</w:t>
      </w:r>
      <w:r>
        <w:rPr>
          <w:rFonts w:hint="eastAsia" w:hAnsi="宋体"/>
          <w:color w:val="auto"/>
          <w:highlight w:val="none"/>
        </w:rPr>
        <w:t>：</w:t>
      </w:r>
      <w:r>
        <w:rPr>
          <w:rFonts w:hAnsi="宋体"/>
          <w:color w:val="auto"/>
          <w:highlight w:val="none"/>
        </w:rPr>
        <w:t>______________</w:t>
      </w:r>
    </w:p>
    <w:p w14:paraId="21A99D4E">
      <w:pPr>
        <w:pStyle w:val="11"/>
        <w:spacing w:line="360" w:lineRule="auto"/>
        <w:ind w:firstLine="420" w:firstLineChars="200"/>
        <w:rPr>
          <w:rFonts w:hAnsi="宋体" w:cs="MingLiU_HKSCS"/>
          <w:color w:val="auto"/>
          <w:highlight w:val="none"/>
        </w:rPr>
      </w:pPr>
      <w:r>
        <w:rPr>
          <w:rFonts w:hint="eastAsia" w:hAnsi="宋体"/>
          <w:color w:val="auto"/>
          <w:highlight w:val="none"/>
        </w:rPr>
        <w:t>日期：</w:t>
      </w:r>
      <w:r>
        <w:rPr>
          <w:rFonts w:hAnsi="宋体"/>
          <w:color w:val="auto"/>
          <w:highlight w:val="none"/>
        </w:rPr>
        <w:t>______</w:t>
      </w:r>
      <w:r>
        <w:rPr>
          <w:rFonts w:hint="eastAsia" w:hAnsi="宋体"/>
          <w:color w:val="auto"/>
          <w:highlight w:val="none"/>
        </w:rPr>
        <w:t>年</w:t>
      </w:r>
      <w:r>
        <w:rPr>
          <w:rFonts w:hAnsi="宋体"/>
          <w:color w:val="auto"/>
          <w:highlight w:val="none"/>
        </w:rPr>
        <w:t>____</w:t>
      </w:r>
      <w:r>
        <w:rPr>
          <w:rFonts w:hint="eastAsia" w:hAnsi="宋体"/>
          <w:color w:val="auto"/>
          <w:highlight w:val="none"/>
        </w:rPr>
        <w:t>月</w:t>
      </w:r>
      <w:r>
        <w:rPr>
          <w:rFonts w:hAnsi="宋体"/>
          <w:color w:val="auto"/>
          <w:highlight w:val="none"/>
        </w:rPr>
        <w:t>____</w:t>
      </w:r>
      <w:r>
        <w:rPr>
          <w:rFonts w:hint="eastAsia" w:hAnsi="宋体"/>
          <w:color w:val="auto"/>
          <w:highlight w:val="none"/>
        </w:rPr>
        <w:t>日</w:t>
      </w:r>
    </w:p>
    <w:p w14:paraId="71A62842">
      <w:pPr>
        <w:pStyle w:val="11"/>
        <w:spacing w:line="360" w:lineRule="auto"/>
        <w:ind w:firstLine="420" w:firstLineChars="200"/>
        <w:rPr>
          <w:rFonts w:hAnsi="宋体"/>
          <w:color w:val="auto"/>
          <w:highlight w:val="none"/>
        </w:rPr>
      </w:pPr>
    </w:p>
    <w:p w14:paraId="0D87B413">
      <w:pPr>
        <w:tabs>
          <w:tab w:val="left" w:pos="5580"/>
        </w:tabs>
        <w:spacing w:line="360" w:lineRule="auto"/>
        <w:ind w:left="1079" w:leftChars="257" w:hanging="540"/>
        <w:rPr>
          <w:rFonts w:ascii="宋体" w:hAnsi="宋体" w:cs="宋体"/>
          <w:color w:val="auto"/>
          <w:sz w:val="24"/>
          <w:szCs w:val="20"/>
          <w:highlight w:val="none"/>
        </w:rPr>
      </w:pPr>
    </w:p>
    <w:p w14:paraId="0470037F">
      <w:pPr>
        <w:tabs>
          <w:tab w:val="left" w:pos="5580"/>
        </w:tabs>
        <w:spacing w:line="360" w:lineRule="auto"/>
        <w:ind w:left="1079" w:leftChars="257" w:hanging="540"/>
        <w:rPr>
          <w:rFonts w:ascii="宋体" w:hAnsi="宋体" w:cs="宋体"/>
          <w:color w:val="auto"/>
          <w:sz w:val="24"/>
          <w:szCs w:val="20"/>
          <w:highlight w:val="none"/>
        </w:rPr>
      </w:pPr>
    </w:p>
    <w:p w14:paraId="7D96E9F2">
      <w:pPr>
        <w:tabs>
          <w:tab w:val="left" w:pos="5580"/>
        </w:tabs>
        <w:spacing w:line="360" w:lineRule="auto"/>
        <w:ind w:left="1079" w:leftChars="257" w:hanging="540"/>
        <w:rPr>
          <w:rFonts w:ascii="宋体" w:hAnsi="宋体" w:cs="宋体"/>
          <w:color w:val="auto"/>
          <w:sz w:val="24"/>
          <w:szCs w:val="20"/>
          <w:highlight w:val="none"/>
        </w:rPr>
      </w:pPr>
      <w:r>
        <w:rPr>
          <w:rFonts w:hint="eastAsia" w:ascii="宋体" w:hAnsi="宋体" w:cs="宋体"/>
          <w:color w:val="auto"/>
          <w:sz w:val="24"/>
          <w:szCs w:val="20"/>
          <w:highlight w:val="none"/>
        </w:rPr>
        <w:t>说明：1供应商应按照相关法规规定如实作出说明。</w:t>
      </w:r>
    </w:p>
    <w:p w14:paraId="0BDFC277">
      <w:pPr>
        <w:pStyle w:val="11"/>
        <w:tabs>
          <w:tab w:val="left" w:pos="5580"/>
        </w:tabs>
        <w:spacing w:line="360" w:lineRule="auto"/>
        <w:ind w:left="644" w:leftChars="307" w:firstLine="600" w:firstLineChars="250"/>
        <w:rPr>
          <w:rFonts w:hAnsi="宋体" w:cs="宋体"/>
          <w:color w:val="auto"/>
          <w:sz w:val="24"/>
          <w:highlight w:val="none"/>
        </w:rPr>
      </w:pPr>
      <w:r>
        <w:rPr>
          <w:rFonts w:hint="eastAsia" w:hAnsi="宋体" w:cs="宋体"/>
          <w:color w:val="auto"/>
          <w:sz w:val="24"/>
          <w:highlight w:val="none"/>
        </w:rPr>
        <w:t>2．按照</w:t>
      </w:r>
      <w:r>
        <w:rPr>
          <w:rFonts w:hint="eastAsia" w:hAnsi="宋体" w:cs="宋体"/>
          <w:color w:val="auto"/>
          <w:sz w:val="24"/>
          <w:highlight w:val="none"/>
          <w:lang w:eastAsia="zh-CN"/>
        </w:rPr>
        <w:t>磋商</w:t>
      </w:r>
      <w:r>
        <w:rPr>
          <w:rFonts w:hint="eastAsia" w:hAnsi="宋体" w:cs="宋体"/>
          <w:color w:val="auto"/>
          <w:sz w:val="24"/>
          <w:highlight w:val="none"/>
        </w:rPr>
        <w:t>文件的规定加盖本单位章（自然人投标的无需盖章，需要签字）。</w:t>
      </w:r>
    </w:p>
    <w:p w14:paraId="48E91494">
      <w:pPr>
        <w:tabs>
          <w:tab w:val="left" w:pos="5580"/>
        </w:tabs>
        <w:spacing w:line="360" w:lineRule="auto"/>
        <w:ind w:left="1257" w:leftChars="599" w:firstLine="103" w:firstLineChars="43"/>
        <w:rPr>
          <w:rFonts w:ascii="宋体" w:hAnsi="宋体" w:cs="宋体"/>
          <w:color w:val="auto"/>
          <w:sz w:val="24"/>
          <w:szCs w:val="20"/>
          <w:highlight w:val="none"/>
        </w:rPr>
      </w:pPr>
      <w:r>
        <w:rPr>
          <w:rFonts w:hint="eastAsia" w:ascii="宋体" w:hAnsi="宋体" w:cs="宋体"/>
          <w:color w:val="auto"/>
          <w:sz w:val="24"/>
          <w:szCs w:val="20"/>
          <w:highlight w:val="none"/>
        </w:rPr>
        <w:t>3.如果是联合体响应文件，联合体各方均需提供上述证明。</w:t>
      </w:r>
    </w:p>
    <w:p w14:paraId="1BC3B68A">
      <w:pPr>
        <w:tabs>
          <w:tab w:val="left" w:pos="5580"/>
        </w:tabs>
        <w:spacing w:line="360" w:lineRule="auto"/>
        <w:ind w:left="1079" w:leftChars="257" w:hanging="540"/>
        <w:rPr>
          <w:rFonts w:ascii="宋体" w:hAnsi="宋体" w:cs="宋体"/>
          <w:color w:val="auto"/>
          <w:sz w:val="24"/>
          <w:szCs w:val="20"/>
          <w:highlight w:val="none"/>
        </w:rPr>
      </w:pPr>
    </w:p>
    <w:p w14:paraId="2C12983E">
      <w:pPr>
        <w:tabs>
          <w:tab w:val="left" w:pos="5580"/>
        </w:tabs>
        <w:spacing w:line="360" w:lineRule="auto"/>
        <w:ind w:left="1079" w:leftChars="257" w:hanging="540"/>
        <w:rPr>
          <w:rFonts w:ascii="宋体" w:hAnsi="宋体" w:cs="宋体"/>
          <w:color w:val="auto"/>
          <w:sz w:val="24"/>
          <w:szCs w:val="20"/>
          <w:highlight w:val="none"/>
        </w:rPr>
      </w:pPr>
      <w:bookmarkStart w:id="320" w:name="_Toc518923114"/>
    </w:p>
    <w:p w14:paraId="1CDFBFD6">
      <w:pPr>
        <w:pStyle w:val="5"/>
        <w:spacing w:line="360" w:lineRule="auto"/>
        <w:rPr>
          <w:rFonts w:hAnsi="宋体" w:cs="宋体"/>
          <w:color w:val="auto"/>
          <w:highlight w:val="none"/>
          <w:u w:val="none"/>
        </w:rPr>
      </w:pPr>
      <w:bookmarkStart w:id="321" w:name="_Toc46235137"/>
      <w:bookmarkStart w:id="322" w:name="_Toc23205"/>
      <w:r>
        <w:rPr>
          <w:rFonts w:hint="eastAsia" w:hAnsi="宋体" w:cs="宋体"/>
          <w:color w:val="auto"/>
          <w:highlight w:val="none"/>
          <w:u w:val="none"/>
        </w:rPr>
        <w:t>8.响应文件须知资料表要求的其他资格证明文件</w:t>
      </w:r>
      <w:bookmarkEnd w:id="320"/>
      <w:bookmarkEnd w:id="321"/>
      <w:bookmarkEnd w:id="322"/>
    </w:p>
    <w:p w14:paraId="39CA82D6">
      <w:pPr>
        <w:spacing w:line="360" w:lineRule="auto"/>
        <w:ind w:left="1079" w:leftChars="257" w:hanging="540"/>
        <w:jc w:val="center"/>
        <w:rPr>
          <w:rFonts w:ascii="宋体" w:hAnsi="宋体" w:cs="宋体"/>
          <w:b/>
          <w:bCs/>
          <w:color w:val="auto"/>
          <w:sz w:val="24"/>
          <w:highlight w:val="none"/>
        </w:rPr>
      </w:pPr>
    </w:p>
    <w:p w14:paraId="6DDCF0F1">
      <w:pPr>
        <w:tabs>
          <w:tab w:val="left" w:pos="5580"/>
        </w:tabs>
        <w:spacing w:line="360" w:lineRule="auto"/>
        <w:rPr>
          <w:rFonts w:ascii="宋体" w:hAnsi="宋体" w:cs="宋体"/>
          <w:color w:val="auto"/>
          <w:sz w:val="24"/>
          <w:szCs w:val="20"/>
          <w:highlight w:val="none"/>
        </w:rPr>
      </w:pPr>
      <w:r>
        <w:rPr>
          <w:rFonts w:hint="eastAsia" w:ascii="宋体" w:hAnsi="宋体" w:cs="宋体"/>
          <w:color w:val="auto"/>
          <w:sz w:val="24"/>
          <w:szCs w:val="20"/>
          <w:highlight w:val="none"/>
        </w:rPr>
        <w:t>说明：应提供</w:t>
      </w:r>
      <w:r>
        <w:rPr>
          <w:rFonts w:hint="eastAsia" w:ascii="宋体" w:hAnsi="宋体" w:cs="宋体"/>
          <w:color w:val="auto"/>
          <w:sz w:val="24"/>
          <w:szCs w:val="20"/>
          <w:highlight w:val="none"/>
          <w:u w:val="single"/>
        </w:rPr>
        <w:t>供应商须知资料表</w:t>
      </w:r>
      <w:r>
        <w:rPr>
          <w:rFonts w:hint="eastAsia" w:ascii="宋体" w:hAnsi="宋体" w:cs="宋体"/>
          <w:color w:val="auto"/>
          <w:sz w:val="24"/>
          <w:szCs w:val="20"/>
          <w:highlight w:val="none"/>
        </w:rPr>
        <w:t>要求的其他资格证明文件。</w:t>
      </w:r>
    </w:p>
    <w:bookmarkEnd w:id="313"/>
    <w:p w14:paraId="4AD3B203">
      <w:pPr>
        <w:pStyle w:val="5"/>
        <w:spacing w:line="360" w:lineRule="auto"/>
        <w:rPr>
          <w:rFonts w:hint="eastAsia" w:hAnsi="宋体" w:cs="宋体"/>
          <w:color w:val="auto"/>
          <w:highlight w:val="none"/>
          <w:u w:val="none"/>
        </w:rPr>
      </w:pPr>
      <w:bookmarkStart w:id="323" w:name="_Toc8400"/>
      <w:bookmarkStart w:id="324" w:name="_Toc46235138"/>
      <w:bookmarkStart w:id="325" w:name="_Toc518923115"/>
      <w:r>
        <w:rPr>
          <w:rFonts w:hint="eastAsia" w:hAnsi="宋体" w:cs="宋体"/>
          <w:color w:val="auto"/>
          <w:highlight w:val="none"/>
          <w:u w:val="none"/>
        </w:rPr>
        <w:t>9.联合体协议书</w:t>
      </w:r>
      <w:bookmarkEnd w:id="323"/>
      <w:bookmarkEnd w:id="324"/>
      <w:r>
        <w:rPr>
          <w:rFonts w:hint="eastAsia" w:hAnsi="宋体" w:cs="宋体"/>
          <w:color w:val="auto"/>
          <w:highlight w:val="none"/>
          <w:u w:val="none"/>
        </w:rPr>
        <w:t>（本项目不适用）</w:t>
      </w:r>
    </w:p>
    <w:p w14:paraId="7BA2DC1D">
      <w:pPr>
        <w:tabs>
          <w:tab w:val="left" w:pos="5580"/>
        </w:tabs>
        <w:spacing w:line="360" w:lineRule="auto"/>
        <w:rPr>
          <w:rFonts w:ascii="宋体" w:hAnsi="宋体" w:cs="宋体"/>
          <w:color w:val="auto"/>
          <w:sz w:val="24"/>
          <w:szCs w:val="20"/>
          <w:highlight w:val="none"/>
        </w:rPr>
      </w:pPr>
    </w:p>
    <w:p w14:paraId="30111C55">
      <w:pPr>
        <w:pStyle w:val="3"/>
        <w:spacing w:line="360" w:lineRule="auto"/>
        <w:ind w:left="774" w:hanging="771" w:hangingChars="257"/>
        <w:rPr>
          <w:rFonts w:ascii="宋体" w:hAnsi="宋体" w:cs="宋体"/>
          <w:color w:val="auto"/>
          <w:sz w:val="24"/>
          <w:szCs w:val="20"/>
          <w:highlight w:val="none"/>
        </w:rPr>
      </w:pPr>
      <w:bookmarkStart w:id="326" w:name="_Toc46235139"/>
      <w:bookmarkStart w:id="327" w:name="_Toc32123"/>
      <w:r>
        <w:rPr>
          <w:rFonts w:hint="eastAsia" w:ascii="宋体" w:hAnsi="宋体" w:eastAsia="宋体" w:cs="宋体"/>
          <w:color w:val="auto"/>
          <w:highlight w:val="none"/>
        </w:rPr>
        <w:br w:type="page"/>
      </w:r>
      <w:r>
        <w:rPr>
          <w:rFonts w:hint="eastAsia" w:ascii="宋体" w:hAnsi="宋体" w:eastAsia="宋体" w:cs="宋体"/>
          <w:color w:val="auto"/>
          <w:highlight w:val="none"/>
        </w:rPr>
        <w:t>四、商务及技术文件</w:t>
      </w:r>
      <w:bookmarkEnd w:id="325"/>
      <w:bookmarkEnd w:id="326"/>
      <w:bookmarkEnd w:id="327"/>
    </w:p>
    <w:p w14:paraId="4010D671">
      <w:pPr>
        <w:pStyle w:val="5"/>
        <w:spacing w:line="360" w:lineRule="auto"/>
        <w:rPr>
          <w:rFonts w:ascii="宋体" w:hAnsi="宋体" w:cs="宋体"/>
          <w:color w:val="auto"/>
          <w:sz w:val="24"/>
          <w:highlight w:val="none"/>
        </w:rPr>
      </w:pPr>
      <w:bookmarkStart w:id="328" w:name="_Toc30629"/>
      <w:bookmarkStart w:id="329" w:name="_Toc46235140"/>
      <w:bookmarkStart w:id="330" w:name="_Toc518923116"/>
      <w:r>
        <w:rPr>
          <w:rFonts w:hint="eastAsia" w:hAnsi="宋体" w:cs="宋体"/>
          <w:color w:val="auto"/>
          <w:highlight w:val="none"/>
          <w:u w:val="none"/>
        </w:rPr>
        <w:t>10</w:t>
      </w:r>
      <w:bookmarkStart w:id="331" w:name="_Hlt520355504"/>
      <w:bookmarkEnd w:id="331"/>
      <w:r>
        <w:rPr>
          <w:rFonts w:hint="eastAsia" w:hAnsi="宋体" w:cs="宋体"/>
          <w:color w:val="auto"/>
          <w:highlight w:val="none"/>
          <w:u w:val="none"/>
        </w:rPr>
        <w:t>.响应文件</w:t>
      </w:r>
      <w:bookmarkEnd w:id="295"/>
      <w:bookmarkEnd w:id="296"/>
      <w:r>
        <w:rPr>
          <w:rFonts w:hint="eastAsia" w:hAnsi="宋体" w:cs="宋体"/>
          <w:color w:val="auto"/>
          <w:highlight w:val="none"/>
          <w:u w:val="none"/>
        </w:rPr>
        <w:t>书</w:t>
      </w:r>
      <w:bookmarkEnd w:id="297"/>
      <w:bookmarkEnd w:id="298"/>
      <w:bookmarkEnd w:id="328"/>
      <w:bookmarkEnd w:id="329"/>
      <w:bookmarkEnd w:id="330"/>
    </w:p>
    <w:p w14:paraId="3389E535">
      <w:pPr>
        <w:keepNext w:val="0"/>
        <w:keepLines w:val="0"/>
        <w:pageBreakBefore w:val="0"/>
        <w:widowControl w:val="0"/>
        <w:tabs>
          <w:tab w:val="left" w:pos="5580"/>
        </w:tabs>
        <w:kinsoku/>
        <w:wordWrap/>
        <w:overflowPunct/>
        <w:topLinePunct w:val="0"/>
        <w:autoSpaceDE/>
        <w:autoSpaceDN/>
        <w:bidi w:val="0"/>
        <w:adjustRightInd/>
        <w:snapToGrid/>
        <w:spacing w:line="360" w:lineRule="auto"/>
        <w:textAlignment w:val="auto"/>
        <w:rPr>
          <w:rFonts w:ascii="宋体" w:hAnsi="宋体" w:cs="宋体"/>
          <w:color w:val="auto"/>
          <w:sz w:val="24"/>
          <w:szCs w:val="20"/>
          <w:highlight w:val="none"/>
        </w:rPr>
      </w:pPr>
      <w:r>
        <w:rPr>
          <w:rFonts w:hint="eastAsia" w:ascii="宋体" w:hAnsi="宋体" w:cs="宋体"/>
          <w:color w:val="auto"/>
          <w:sz w:val="24"/>
          <w:highlight w:val="none"/>
        </w:rPr>
        <w:t>致：</w:t>
      </w:r>
      <w:r>
        <w:rPr>
          <w:rFonts w:hint="eastAsia" w:ascii="宋体" w:hAnsi="宋体" w:cs="宋体"/>
          <w:color w:val="auto"/>
          <w:sz w:val="24"/>
          <w:szCs w:val="20"/>
          <w:highlight w:val="none"/>
          <w:u w:val="single"/>
        </w:rPr>
        <w:t>×××××（采购代理机构）</w:t>
      </w:r>
    </w:p>
    <w:p w14:paraId="15210A7A">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lang w:val="en-US"/>
        </w:rPr>
      </w:pPr>
      <w:r>
        <w:rPr>
          <w:rFonts w:hint="eastAsia" w:ascii="宋体" w:hAnsi="宋体" w:cs="宋体"/>
          <w:color w:val="auto"/>
          <w:sz w:val="24"/>
          <w:szCs w:val="20"/>
          <w:highlight w:val="none"/>
        </w:rPr>
        <w:t>根据贵方</w:t>
      </w:r>
      <w:r>
        <w:rPr>
          <w:rFonts w:hint="eastAsia" w:ascii="宋体" w:hAnsi="宋体" w:cs="宋体"/>
          <w:color w:val="auto"/>
          <w:sz w:val="24"/>
          <w:szCs w:val="20"/>
          <w:highlight w:val="none"/>
          <w:u w:val="single"/>
        </w:rPr>
        <w:t>(项目名称)</w:t>
      </w:r>
      <w:r>
        <w:rPr>
          <w:rFonts w:hint="eastAsia" w:ascii="宋体" w:hAnsi="宋体" w:cs="宋体"/>
          <w:color w:val="auto"/>
          <w:sz w:val="24"/>
          <w:szCs w:val="20"/>
          <w:highlight w:val="none"/>
        </w:rPr>
        <w:t>项目的响应文件邀请</w:t>
      </w:r>
      <w:r>
        <w:rPr>
          <w:rFonts w:hint="eastAsia" w:ascii="宋体" w:hAnsi="宋体" w:cs="宋体"/>
          <w:color w:val="auto"/>
          <w:sz w:val="24"/>
          <w:szCs w:val="20"/>
          <w:highlight w:val="none"/>
          <w:u w:val="single"/>
        </w:rPr>
        <w:t>(项目编号)</w:t>
      </w:r>
      <w:r>
        <w:rPr>
          <w:rFonts w:hint="eastAsia" w:ascii="宋体" w:hAnsi="宋体" w:cs="宋体"/>
          <w:color w:val="auto"/>
          <w:sz w:val="24"/>
          <w:szCs w:val="20"/>
          <w:highlight w:val="none"/>
        </w:rPr>
        <w:t>,签章代表</w:t>
      </w:r>
      <w:r>
        <w:rPr>
          <w:rFonts w:hint="eastAsia" w:ascii="宋体" w:hAnsi="宋体" w:cs="宋体"/>
          <w:color w:val="auto"/>
          <w:sz w:val="24"/>
          <w:szCs w:val="20"/>
          <w:highlight w:val="none"/>
          <w:u w:val="single"/>
        </w:rPr>
        <w:t>(姓名、职务)</w:t>
      </w:r>
      <w:r>
        <w:rPr>
          <w:rFonts w:hint="eastAsia" w:ascii="宋体" w:hAnsi="宋体" w:cs="宋体"/>
          <w:color w:val="auto"/>
          <w:sz w:val="24"/>
          <w:szCs w:val="20"/>
          <w:highlight w:val="none"/>
        </w:rPr>
        <w:t>经正式授权并代表供应商</w:t>
      </w:r>
      <w:r>
        <w:rPr>
          <w:rFonts w:hint="eastAsia" w:ascii="宋体" w:hAnsi="宋体" w:cs="宋体"/>
          <w:color w:val="auto"/>
          <w:sz w:val="24"/>
          <w:szCs w:val="20"/>
          <w:highlight w:val="none"/>
          <w:u w:val="single"/>
        </w:rPr>
        <w:t>（名称）</w:t>
      </w:r>
      <w:r>
        <w:rPr>
          <w:rFonts w:hint="eastAsia" w:ascii="宋体" w:hAnsi="宋体" w:cs="宋体"/>
          <w:color w:val="auto"/>
          <w:sz w:val="24"/>
          <w:szCs w:val="20"/>
          <w:highlight w:val="none"/>
          <w:lang w:val="en-US"/>
        </w:rPr>
        <w:t>提交响应文件</w:t>
      </w:r>
    </w:p>
    <w:p w14:paraId="4B91DC64">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1.</w:t>
      </w:r>
      <w:r>
        <w:rPr>
          <w:rFonts w:hint="eastAsia" w:ascii="宋体" w:hAnsi="宋体" w:cs="宋体"/>
          <w:color w:val="auto"/>
          <w:sz w:val="24"/>
          <w:szCs w:val="20"/>
          <w:highlight w:val="none"/>
        </w:rPr>
        <w:t>附报价价格表中规定的应提供服务/货物的总价详见报价一览表。</w:t>
      </w:r>
    </w:p>
    <w:p w14:paraId="2EEBE765">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2.</w:t>
      </w:r>
      <w:r>
        <w:rPr>
          <w:rFonts w:hint="eastAsia" w:ascii="宋体" w:hAnsi="宋体" w:cs="宋体"/>
          <w:color w:val="auto"/>
          <w:sz w:val="24"/>
          <w:szCs w:val="20"/>
          <w:highlight w:val="none"/>
        </w:rPr>
        <w:t>本响应文件有效期为自响应文件截止之日起</w:t>
      </w:r>
      <w:r>
        <w:rPr>
          <w:rFonts w:hint="eastAsia" w:ascii="宋体" w:hAnsi="宋体" w:cs="宋体"/>
          <w:color w:val="auto"/>
          <w:sz w:val="24"/>
          <w:szCs w:val="20"/>
          <w:highlight w:val="none"/>
          <w:u w:val="single"/>
        </w:rPr>
        <w:t>90</w:t>
      </w:r>
      <w:r>
        <w:rPr>
          <w:rFonts w:hint="eastAsia" w:ascii="宋体" w:hAnsi="宋体" w:cs="宋体"/>
          <w:color w:val="auto"/>
          <w:sz w:val="24"/>
          <w:szCs w:val="20"/>
          <w:highlight w:val="none"/>
        </w:rPr>
        <w:t>个日历</w:t>
      </w:r>
      <w:r>
        <w:rPr>
          <w:rFonts w:hint="eastAsia" w:ascii="宋体" w:hAnsi="宋体" w:cs="宋体"/>
          <w:color w:val="auto"/>
          <w:sz w:val="24"/>
          <w:szCs w:val="20"/>
          <w:highlight w:val="none"/>
          <w:lang w:val="en-US"/>
        </w:rPr>
        <w:t>天</w:t>
      </w:r>
      <w:r>
        <w:rPr>
          <w:rFonts w:hint="eastAsia" w:ascii="宋体" w:hAnsi="宋体" w:cs="宋体"/>
          <w:color w:val="auto"/>
          <w:sz w:val="24"/>
          <w:szCs w:val="20"/>
          <w:highlight w:val="none"/>
        </w:rPr>
        <w:t>。</w:t>
      </w:r>
    </w:p>
    <w:p w14:paraId="2438CADA">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3.</w:t>
      </w:r>
      <w:r>
        <w:rPr>
          <w:rFonts w:hint="eastAsia" w:ascii="宋体" w:hAnsi="宋体" w:cs="宋体"/>
          <w:color w:val="auto"/>
          <w:sz w:val="24"/>
          <w:szCs w:val="20"/>
          <w:highlight w:val="none"/>
        </w:rPr>
        <w:t>已详细审查全部竞争性磋商文件，包括所有补充通知（如果有的话）。</w:t>
      </w:r>
    </w:p>
    <w:p w14:paraId="0FB755EC">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4.</w:t>
      </w:r>
      <w:r>
        <w:rPr>
          <w:rFonts w:hint="eastAsia" w:ascii="宋体" w:hAnsi="宋体" w:cs="宋体"/>
          <w:color w:val="auto"/>
          <w:sz w:val="24"/>
          <w:szCs w:val="20"/>
          <w:highlight w:val="none"/>
        </w:rPr>
        <w:t>我方不是为本项目提供整体设计、规范编制或者项目管理、监理、检测等服务的供应商，我方不是采购代理机构的附属机构。</w:t>
      </w:r>
    </w:p>
    <w:p w14:paraId="3CFF19A6">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5.</w:t>
      </w:r>
      <w:r>
        <w:rPr>
          <w:rFonts w:hint="eastAsia" w:ascii="宋体" w:hAnsi="宋体" w:cs="宋体"/>
          <w:color w:val="auto"/>
          <w:sz w:val="24"/>
          <w:szCs w:val="20"/>
          <w:highlight w:val="none"/>
        </w:rPr>
        <w:t>按照贵方可能要求，提供与其响应文件有关的一切数据或资料，完全理解贵方不一定接受最低价的响应文件或收到的任何响应文件。</w:t>
      </w:r>
    </w:p>
    <w:p w14:paraId="1B955F0D">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hint="eastAsia" w:ascii="宋体" w:hAnsi="宋体" w:cs="宋体"/>
          <w:color w:val="auto"/>
          <w:sz w:val="24"/>
          <w:szCs w:val="20"/>
          <w:highlight w:val="none"/>
        </w:rPr>
      </w:pPr>
      <w:r>
        <w:rPr>
          <w:rFonts w:hint="eastAsia" w:ascii="宋体" w:hAnsi="宋体" w:cs="宋体"/>
          <w:color w:val="auto"/>
          <w:sz w:val="24"/>
          <w:szCs w:val="20"/>
          <w:highlight w:val="none"/>
          <w:lang w:val="en-US"/>
        </w:rPr>
        <w:t>6.</w:t>
      </w:r>
      <w:r>
        <w:rPr>
          <w:rFonts w:hint="eastAsia" w:ascii="宋体" w:hAnsi="宋体" w:cs="宋体"/>
          <w:color w:val="auto"/>
          <w:sz w:val="24"/>
          <w:szCs w:val="20"/>
          <w:highlight w:val="none"/>
        </w:rPr>
        <w:t>按照竞争性磋商文件的规定履行合同责任和义务。</w:t>
      </w:r>
    </w:p>
    <w:p w14:paraId="0D1A346B">
      <w:pPr>
        <w:keepNext w:val="0"/>
        <w:keepLines w:val="0"/>
        <w:pageBreakBefore w:val="0"/>
        <w:widowControl w:val="0"/>
        <w:tabs>
          <w:tab w:val="left" w:pos="5580"/>
        </w:tabs>
        <w:kinsoku/>
        <w:wordWrap/>
        <w:overflowPunct/>
        <w:topLinePunct w:val="0"/>
        <w:autoSpaceDE/>
        <w:autoSpaceDN/>
        <w:bidi w:val="0"/>
        <w:adjustRightInd/>
        <w:snapToGrid/>
        <w:spacing w:line="360" w:lineRule="auto"/>
        <w:ind w:left="142" w:leftChars="68" w:firstLine="480" w:firstLineChars="200"/>
        <w:textAlignment w:val="auto"/>
        <w:rPr>
          <w:rFonts w:ascii="宋体" w:hAnsi="宋体" w:cs="宋体"/>
          <w:color w:val="auto"/>
          <w:sz w:val="24"/>
          <w:szCs w:val="20"/>
          <w:highlight w:val="none"/>
        </w:rPr>
      </w:pPr>
      <w:r>
        <w:rPr>
          <w:rFonts w:hint="eastAsia" w:ascii="宋体" w:hAnsi="宋体" w:cs="宋体"/>
          <w:color w:val="auto"/>
          <w:sz w:val="24"/>
          <w:szCs w:val="20"/>
          <w:highlight w:val="none"/>
        </w:rPr>
        <w:t>与本响应文件有关的一切正式往来信函请寄：</w:t>
      </w:r>
    </w:p>
    <w:p w14:paraId="07FB56A0">
      <w:pPr>
        <w:tabs>
          <w:tab w:val="left" w:pos="5580"/>
        </w:tabs>
        <w:spacing w:line="360" w:lineRule="auto"/>
        <w:ind w:left="1079" w:leftChars="257" w:hanging="540"/>
        <w:rPr>
          <w:rFonts w:ascii="宋体" w:hAnsi="宋体" w:cs="宋体"/>
          <w:color w:val="auto"/>
          <w:sz w:val="24"/>
          <w:szCs w:val="20"/>
          <w:highlight w:val="none"/>
        </w:rPr>
      </w:pPr>
      <w:r>
        <w:rPr>
          <w:rFonts w:hint="eastAsia" w:ascii="宋体" w:hAnsi="宋体" w:cs="宋体"/>
          <w:color w:val="auto"/>
          <w:sz w:val="24"/>
          <w:szCs w:val="20"/>
          <w:highlight w:val="none"/>
        </w:rPr>
        <w:t>地址：传真：</w:t>
      </w:r>
    </w:p>
    <w:p w14:paraId="1B8F1193">
      <w:pPr>
        <w:tabs>
          <w:tab w:val="left" w:pos="5580"/>
        </w:tabs>
        <w:spacing w:line="360" w:lineRule="auto"/>
        <w:ind w:left="1079" w:leftChars="257" w:hanging="540"/>
        <w:rPr>
          <w:rFonts w:ascii="宋体" w:hAnsi="宋体" w:cs="宋体"/>
          <w:b/>
          <w:color w:val="auto"/>
          <w:sz w:val="24"/>
          <w:szCs w:val="20"/>
          <w:highlight w:val="none"/>
        </w:rPr>
      </w:pPr>
      <w:r>
        <w:rPr>
          <w:rFonts w:hint="eastAsia" w:ascii="宋体" w:hAnsi="宋体" w:cs="宋体"/>
          <w:color w:val="auto"/>
          <w:sz w:val="24"/>
          <w:szCs w:val="20"/>
          <w:highlight w:val="none"/>
        </w:rPr>
        <w:t>电话：电子函件：</w:t>
      </w:r>
    </w:p>
    <w:p w14:paraId="0191E617">
      <w:pPr>
        <w:pStyle w:val="11"/>
        <w:tabs>
          <w:tab w:val="left" w:pos="5580"/>
        </w:tabs>
        <w:spacing w:line="360" w:lineRule="auto"/>
        <w:ind w:left="1079" w:leftChars="257" w:hanging="540"/>
        <w:rPr>
          <w:rFonts w:hAnsi="宋体" w:cs="宋体"/>
          <w:color w:val="auto"/>
          <w:sz w:val="24"/>
          <w:highlight w:val="none"/>
        </w:rPr>
      </w:pPr>
      <w:r>
        <w:rPr>
          <w:rFonts w:hint="eastAsia" w:hAnsi="宋体" w:cs="宋体"/>
          <w:color w:val="auto"/>
          <w:sz w:val="24"/>
          <w:highlight w:val="none"/>
        </w:rPr>
        <w:t>法定代表人或其委托代理人签字：-----------------</w:t>
      </w:r>
    </w:p>
    <w:p w14:paraId="6E170896">
      <w:pPr>
        <w:pStyle w:val="11"/>
        <w:tabs>
          <w:tab w:val="left" w:pos="5580"/>
        </w:tabs>
        <w:spacing w:line="360" w:lineRule="auto"/>
        <w:ind w:left="1079" w:leftChars="257" w:hanging="540"/>
        <w:rPr>
          <w:rFonts w:hAnsi="宋体" w:cs="宋体"/>
          <w:color w:val="auto"/>
          <w:sz w:val="24"/>
          <w:highlight w:val="none"/>
        </w:rPr>
      </w:pPr>
      <w:r>
        <w:rPr>
          <w:rFonts w:hint="eastAsia" w:hAnsi="宋体" w:cs="宋体"/>
          <w:color w:val="auto"/>
          <w:sz w:val="24"/>
          <w:highlight w:val="none"/>
        </w:rPr>
        <w:t>供应商名称（全称）：-----------------</w:t>
      </w:r>
    </w:p>
    <w:p w14:paraId="0CAFA94D">
      <w:pPr>
        <w:pStyle w:val="11"/>
        <w:tabs>
          <w:tab w:val="left" w:pos="5580"/>
        </w:tabs>
        <w:spacing w:line="360" w:lineRule="auto"/>
        <w:ind w:left="1079" w:leftChars="257" w:hanging="540"/>
        <w:rPr>
          <w:rFonts w:hint="eastAsia" w:hAnsi="宋体" w:cs="宋体"/>
          <w:color w:val="auto"/>
          <w:sz w:val="24"/>
          <w:highlight w:val="none"/>
          <w:lang w:eastAsia="zh-CN"/>
        </w:rPr>
      </w:pPr>
      <w:r>
        <w:rPr>
          <w:rFonts w:hint="eastAsia" w:hAnsi="宋体" w:cs="宋体"/>
          <w:color w:val="auto"/>
          <w:sz w:val="24"/>
          <w:highlight w:val="none"/>
        </w:rPr>
        <w:t>供应商开户银行（全称）：　　　　　　</w:t>
      </w:r>
    </w:p>
    <w:p w14:paraId="537F922E">
      <w:pPr>
        <w:pStyle w:val="11"/>
        <w:tabs>
          <w:tab w:val="left" w:pos="5580"/>
        </w:tabs>
        <w:spacing w:line="360" w:lineRule="auto"/>
        <w:ind w:left="1079" w:leftChars="257" w:hanging="540"/>
        <w:rPr>
          <w:rFonts w:hAnsi="宋体" w:cs="宋体"/>
          <w:color w:val="auto"/>
          <w:sz w:val="24"/>
          <w:highlight w:val="none"/>
        </w:rPr>
      </w:pPr>
      <w:r>
        <w:rPr>
          <w:rFonts w:hint="eastAsia" w:hAnsi="宋体" w:cs="宋体"/>
          <w:color w:val="auto"/>
          <w:sz w:val="24"/>
          <w:highlight w:val="none"/>
        </w:rPr>
        <w:t>供应商银行帐号：　　　　　　　　　　</w:t>
      </w:r>
    </w:p>
    <w:p w14:paraId="361A83E1">
      <w:pPr>
        <w:pStyle w:val="11"/>
        <w:tabs>
          <w:tab w:val="left" w:pos="5580"/>
        </w:tabs>
        <w:spacing w:line="360" w:lineRule="auto"/>
        <w:ind w:left="1079" w:leftChars="257" w:hanging="540"/>
        <w:rPr>
          <w:rFonts w:hAnsi="宋体" w:cs="宋体"/>
          <w:color w:val="auto"/>
          <w:sz w:val="24"/>
          <w:highlight w:val="none"/>
        </w:rPr>
      </w:pPr>
      <w:r>
        <w:rPr>
          <w:rFonts w:hint="eastAsia" w:hAnsi="宋体" w:cs="宋体"/>
          <w:color w:val="auto"/>
          <w:sz w:val="24"/>
          <w:highlight w:val="none"/>
        </w:rPr>
        <w:t>供应商单位章：-------------------------</w:t>
      </w:r>
    </w:p>
    <w:p w14:paraId="6D09DC65">
      <w:pPr>
        <w:pStyle w:val="11"/>
        <w:tabs>
          <w:tab w:val="left" w:pos="5580"/>
        </w:tabs>
        <w:spacing w:line="360" w:lineRule="auto"/>
        <w:ind w:left="1079" w:leftChars="257" w:hanging="540"/>
        <w:rPr>
          <w:rFonts w:hAnsi="宋体" w:cs="宋体"/>
          <w:color w:val="auto"/>
          <w:sz w:val="24"/>
          <w:highlight w:val="none"/>
        </w:rPr>
      </w:pPr>
      <w:r>
        <w:rPr>
          <w:rFonts w:hint="eastAsia" w:hAnsi="宋体" w:cs="宋体"/>
          <w:color w:val="auto"/>
          <w:sz w:val="24"/>
          <w:highlight w:val="none"/>
        </w:rPr>
        <w:t>日期：------------------------------</w:t>
      </w:r>
    </w:p>
    <w:p w14:paraId="56ECC5AF">
      <w:pPr>
        <w:pStyle w:val="5"/>
        <w:spacing w:line="360" w:lineRule="auto"/>
        <w:rPr>
          <w:rFonts w:hAnsi="宋体" w:cs="宋体"/>
          <w:color w:val="auto"/>
          <w:highlight w:val="none"/>
        </w:rPr>
      </w:pPr>
      <w:bookmarkStart w:id="332" w:name="_Hlt520355938"/>
      <w:bookmarkEnd w:id="332"/>
      <w:bookmarkStart w:id="333" w:name="_Hlt520356243"/>
      <w:bookmarkEnd w:id="333"/>
      <w:bookmarkStart w:id="334" w:name="_Toc216582815"/>
      <w:r>
        <w:rPr>
          <w:rFonts w:hint="eastAsia" w:hAnsi="宋体" w:cs="宋体"/>
          <w:color w:val="auto"/>
          <w:sz w:val="30"/>
          <w:highlight w:val="none"/>
        </w:rPr>
        <w:br w:type="page"/>
      </w:r>
      <w:bookmarkStart w:id="335" w:name="_Toc46235141"/>
      <w:bookmarkStart w:id="336" w:name="_Toc16273"/>
      <w:bookmarkStart w:id="337" w:name="_Toc45562518"/>
      <w:bookmarkStart w:id="338" w:name="_Toc216582818"/>
      <w:bookmarkStart w:id="339" w:name="_Toc518923119"/>
      <w:r>
        <w:rPr>
          <w:rFonts w:hint="eastAsia" w:hAnsi="宋体" w:cs="宋体"/>
          <w:color w:val="auto"/>
          <w:highlight w:val="none"/>
          <w:u w:val="none"/>
        </w:rPr>
        <w:t>11.符合价格扣除条件的供应商需提供的资料</w:t>
      </w:r>
      <w:bookmarkEnd w:id="335"/>
      <w:bookmarkEnd w:id="336"/>
      <w:bookmarkEnd w:id="337"/>
    </w:p>
    <w:p w14:paraId="4F91AB8F">
      <w:pPr>
        <w:spacing w:line="360" w:lineRule="auto"/>
        <w:rPr>
          <w:rFonts w:ascii="宋体" w:hAnsi="宋体" w:cs="宋体"/>
          <w:b/>
          <w:color w:val="auto"/>
          <w:kern w:val="0"/>
          <w:sz w:val="24"/>
          <w:szCs w:val="20"/>
          <w:highlight w:val="none"/>
        </w:rPr>
      </w:pPr>
    </w:p>
    <w:bookmarkEnd w:id="338"/>
    <w:bookmarkEnd w:id="339"/>
    <w:p w14:paraId="3D5A18E3">
      <w:pPr>
        <w:spacing w:line="360" w:lineRule="auto"/>
        <w:jc w:val="center"/>
        <w:rPr>
          <w:rFonts w:hint="eastAsia" w:ascii="宋体" w:hAnsi="宋体" w:cs="宋体"/>
          <w:b/>
          <w:color w:val="auto"/>
          <w:kern w:val="0"/>
          <w:sz w:val="24"/>
          <w:szCs w:val="20"/>
          <w:highlight w:val="none"/>
        </w:rPr>
      </w:pPr>
      <w:bookmarkStart w:id="340" w:name="_Toc518923120"/>
      <w:r>
        <w:rPr>
          <w:rFonts w:hint="eastAsia" w:ascii="宋体" w:hAnsi="宋体" w:cs="宋体"/>
          <w:b/>
          <w:color w:val="auto"/>
          <w:kern w:val="0"/>
          <w:sz w:val="24"/>
          <w:szCs w:val="20"/>
          <w:highlight w:val="none"/>
        </w:rPr>
        <w:t>11.1供应商企业（单位）类型</w:t>
      </w:r>
      <w:bookmarkEnd w:id="340"/>
    </w:p>
    <w:p w14:paraId="5FC25628">
      <w:pPr>
        <w:spacing w:line="360" w:lineRule="auto"/>
        <w:ind w:left="1079" w:leftChars="257" w:hanging="540"/>
        <w:jc w:val="center"/>
        <w:rPr>
          <w:rFonts w:ascii="宋体" w:hAnsi="宋体" w:cs="宋体"/>
          <w:b/>
          <w:color w:val="auto"/>
          <w:kern w:val="0"/>
          <w:sz w:val="24"/>
          <w:szCs w:val="20"/>
          <w:highlight w:val="none"/>
        </w:rPr>
      </w:pPr>
    </w:p>
    <w:p w14:paraId="05A42D57">
      <w:pPr>
        <w:widowControl/>
        <w:spacing w:before="100" w:beforeAutospacing="1" w:after="100" w:afterAutospacing="1"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本企业（单位）郑重声明下列事项（按照实际情况勾选或填空）：</w:t>
      </w:r>
    </w:p>
    <w:p w14:paraId="3CC3DD2B">
      <w:pPr>
        <w:widowControl/>
        <w:spacing w:before="100" w:beforeAutospacing="1" w:after="100" w:afterAutospacing="1" w:line="360" w:lineRule="auto"/>
        <w:ind w:firstLine="420"/>
        <w:jc w:val="left"/>
        <w:rPr>
          <w:rFonts w:ascii="宋体" w:hAnsi="宋体" w:cs="宋体"/>
          <w:color w:val="auto"/>
          <w:kern w:val="0"/>
          <w:sz w:val="24"/>
          <w:highlight w:val="none"/>
        </w:rPr>
      </w:pPr>
      <w:r>
        <w:rPr>
          <w:rFonts w:hint="eastAsia" w:ascii="宋体" w:hAnsi="宋体" w:cs="宋体"/>
          <w:color w:val="auto"/>
          <w:kern w:val="0"/>
          <w:sz w:val="24"/>
          <w:highlight w:val="none"/>
        </w:rPr>
        <w:t>1、□本企业（单位）为直接供应商，提供本企业（单位）服务。</w:t>
      </w:r>
    </w:p>
    <w:p w14:paraId="720747A8">
      <w:pPr>
        <w:widowControl/>
        <w:spacing w:before="100" w:beforeAutospacing="1" w:after="100" w:afterAutospacing="1"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1）根据《工业和信息化部、国家统计局、国家发展和改革委员会、财政部关于印发中小企业划型标准规定的通知》（工信部联企业[2011]300号）规定的划分标准，本企业为______（请填写：中型、小型、微型）企业。</w:t>
      </w:r>
    </w:p>
    <w:p w14:paraId="2F8DDBF0">
      <w:pPr>
        <w:widowControl/>
        <w:spacing w:before="100" w:beforeAutospacing="1" w:after="100" w:afterAutospacing="1" w:line="360" w:lineRule="auto"/>
        <w:ind w:firstLine="420"/>
        <w:jc w:val="left"/>
        <w:rPr>
          <w:rFonts w:ascii="宋体" w:hAnsi="宋体" w:cs="宋体"/>
          <w:color w:val="auto"/>
          <w:kern w:val="0"/>
          <w:sz w:val="24"/>
          <w:highlight w:val="none"/>
        </w:rPr>
      </w:pPr>
      <w:r>
        <w:rPr>
          <w:rFonts w:hint="eastAsia" w:ascii="宋体" w:hAnsi="宋体" w:cs="宋体"/>
          <w:color w:val="auto"/>
          <w:kern w:val="0"/>
          <w:sz w:val="24"/>
          <w:highlight w:val="none"/>
        </w:rPr>
        <w:t>（2）本企业（请填写：是、不是）监狱企业。后附省级以上监狱管理局、戒毒管理局（含新疆生产建设兵团）出具的属于监狱企业的证明文件。</w:t>
      </w:r>
    </w:p>
    <w:p w14:paraId="71215C52">
      <w:pPr>
        <w:widowControl/>
        <w:spacing w:before="100" w:beforeAutospacing="1" w:after="100" w:afterAutospacing="1" w:line="360" w:lineRule="auto"/>
        <w:ind w:firstLine="420"/>
        <w:jc w:val="left"/>
        <w:rPr>
          <w:rFonts w:ascii="宋体" w:hAnsi="宋体" w:cs="宋体"/>
          <w:color w:val="auto"/>
          <w:kern w:val="0"/>
          <w:sz w:val="24"/>
          <w:highlight w:val="none"/>
        </w:rPr>
      </w:pPr>
      <w:r>
        <w:rPr>
          <w:rFonts w:hint="eastAsia" w:ascii="宋体" w:hAnsi="宋体" w:cs="宋体"/>
          <w:color w:val="auto"/>
          <w:kern w:val="0"/>
          <w:sz w:val="24"/>
          <w:highlight w:val="none"/>
        </w:rPr>
        <w:t>（3）根据《关于促进残疾人就业政府采购政策的通知》（财库〔2017〕141号）。本单位（请填写：是、不是）残疾人福利性单位。</w:t>
      </w:r>
    </w:p>
    <w:p w14:paraId="2E412B92">
      <w:pPr>
        <w:widowControl/>
        <w:spacing w:before="100" w:beforeAutospacing="1" w:after="100" w:afterAutospacing="1" w:line="360" w:lineRule="auto"/>
        <w:ind w:firstLine="420"/>
        <w:jc w:val="left"/>
        <w:rPr>
          <w:rFonts w:ascii="宋体" w:hAnsi="宋体" w:cs="宋体"/>
          <w:color w:val="auto"/>
          <w:kern w:val="0"/>
          <w:sz w:val="24"/>
          <w:highlight w:val="none"/>
        </w:rPr>
      </w:pPr>
      <w:r>
        <w:rPr>
          <w:rFonts w:hint="eastAsia" w:ascii="宋体" w:hAnsi="宋体" w:cs="宋体"/>
          <w:color w:val="auto"/>
          <w:kern w:val="0"/>
          <w:sz w:val="24"/>
          <w:highlight w:val="none"/>
        </w:rPr>
        <w:t>2、□本项目提供伴随货物，由其他______（请填写：中型、小型、微型）企业、监狱企业或残疾人福利性单位制造。本条所称货物不包括使用大型企业注册商标的货物。</w:t>
      </w:r>
    </w:p>
    <w:p w14:paraId="6ABE6BF0">
      <w:pPr>
        <w:widowControl/>
        <w:spacing w:before="100" w:beforeAutospacing="1" w:after="100" w:afterAutospacing="1" w:line="360" w:lineRule="auto"/>
        <w:ind w:firstLine="420"/>
        <w:jc w:val="left"/>
        <w:rPr>
          <w:rFonts w:ascii="宋体" w:hAnsi="宋体" w:cs="宋体"/>
          <w:color w:val="auto"/>
          <w:kern w:val="0"/>
          <w:sz w:val="24"/>
          <w:highlight w:val="none"/>
        </w:rPr>
      </w:pPr>
      <w:r>
        <w:rPr>
          <w:rFonts w:hint="eastAsia" w:ascii="宋体" w:hAnsi="宋体" w:cs="宋体"/>
          <w:color w:val="auto"/>
          <w:kern w:val="0"/>
          <w:sz w:val="24"/>
          <w:highlight w:val="none"/>
        </w:rPr>
        <w:t>3、□本企业（单位）为联合体一方，提供本企业（单位）制造的货物，由本企业（单位）承担工程、提供服务。本企业（单位）提供协议合同金额占到共同响应文件协议合同总金额的比例为。</w:t>
      </w:r>
    </w:p>
    <w:p w14:paraId="3C65C30A">
      <w:pPr>
        <w:widowControl/>
        <w:spacing w:before="100" w:beforeAutospacing="1" w:after="100" w:afterAutospacing="1" w:line="360" w:lineRule="auto"/>
        <w:ind w:firstLine="480"/>
        <w:jc w:val="left"/>
        <w:rPr>
          <w:rFonts w:ascii="宋体" w:hAnsi="宋体" w:cs="宋体"/>
          <w:color w:val="auto"/>
          <w:kern w:val="0"/>
          <w:sz w:val="24"/>
          <w:highlight w:val="none"/>
        </w:rPr>
      </w:pPr>
      <w:r>
        <w:rPr>
          <w:rFonts w:hint="eastAsia" w:ascii="宋体" w:hAnsi="宋体" w:cs="宋体"/>
          <w:color w:val="auto"/>
          <w:kern w:val="0"/>
          <w:sz w:val="24"/>
          <w:highlight w:val="none"/>
        </w:rPr>
        <w:t>本企业（单位）对上述声明的真实性负责。如有虚假，将依法承担相应责任。</w:t>
      </w:r>
    </w:p>
    <w:p w14:paraId="4EAE17AD">
      <w:pPr>
        <w:widowControl/>
        <w:spacing w:before="100" w:beforeAutospacing="1" w:after="100" w:afterAutospacing="1"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w:t>
      </w:r>
    </w:p>
    <w:p w14:paraId="777B3B64">
      <w:pPr>
        <w:spacing w:line="360" w:lineRule="auto"/>
        <w:jc w:val="center"/>
        <w:rPr>
          <w:rFonts w:hint="eastAsia" w:ascii="宋体" w:hAnsi="宋体" w:cs="宋体"/>
          <w:b/>
          <w:color w:val="auto"/>
          <w:kern w:val="0"/>
          <w:sz w:val="24"/>
          <w:szCs w:val="20"/>
          <w:highlight w:val="none"/>
        </w:rPr>
      </w:pPr>
      <w:bookmarkStart w:id="341" w:name="_Toc515647825"/>
      <w:bookmarkStart w:id="342" w:name="_Toc24603"/>
      <w:bookmarkStart w:id="343" w:name="_Toc23068"/>
      <w:bookmarkStart w:id="344" w:name="_Toc19284"/>
      <w:bookmarkStart w:id="345" w:name="OLE_LINK14"/>
      <w:bookmarkStart w:id="346" w:name="OLE_LINK13"/>
      <w:r>
        <w:rPr>
          <w:rFonts w:hint="eastAsia" w:ascii="宋体" w:hAnsi="宋体" w:cs="宋体"/>
          <w:b/>
          <w:color w:val="auto"/>
          <w:kern w:val="0"/>
          <w:sz w:val="24"/>
          <w:szCs w:val="20"/>
          <w:highlight w:val="none"/>
        </w:rPr>
        <w:t>11.2中小企业声明函</w:t>
      </w:r>
      <w:bookmarkEnd w:id="341"/>
      <w:bookmarkEnd w:id="342"/>
      <w:bookmarkEnd w:id="343"/>
      <w:bookmarkEnd w:id="344"/>
    </w:p>
    <w:bookmarkEnd w:id="345"/>
    <w:bookmarkEnd w:id="346"/>
    <w:p w14:paraId="4F4A95EF">
      <w:pPr>
        <w:spacing w:line="360" w:lineRule="auto"/>
        <w:ind w:left="1079" w:leftChars="257" w:hanging="540"/>
        <w:jc w:val="center"/>
        <w:rPr>
          <w:rFonts w:ascii="宋体" w:hAnsi="宋体" w:cs="宋体"/>
          <w:color w:val="auto"/>
          <w:kern w:val="0"/>
          <w:sz w:val="24"/>
          <w:szCs w:val="20"/>
          <w:highlight w:val="none"/>
        </w:rPr>
      </w:pPr>
    </w:p>
    <w:p w14:paraId="579339CE">
      <w:pPr>
        <w:jc w:val="center"/>
        <w:rPr>
          <w:rFonts w:ascii="宋体" w:hAnsi="宋体" w:cs="宋体"/>
          <w:b/>
          <w:bCs/>
          <w:color w:val="auto"/>
          <w:sz w:val="32"/>
          <w:szCs w:val="32"/>
          <w:highlight w:val="none"/>
        </w:rPr>
      </w:pPr>
      <w:r>
        <w:rPr>
          <w:rFonts w:ascii="宋体" w:hAnsi="宋体" w:cs="宋体"/>
          <w:b/>
          <w:bCs/>
          <w:color w:val="auto"/>
          <w:sz w:val="32"/>
          <w:szCs w:val="32"/>
          <w:highlight w:val="none"/>
        </w:rPr>
        <w:t>中小企业声明函（工程、服务）</w:t>
      </w:r>
    </w:p>
    <w:p w14:paraId="41EED2AD">
      <w:pPr>
        <w:pStyle w:val="25"/>
        <w:spacing w:line="360" w:lineRule="auto"/>
        <w:ind w:firstLine="480"/>
        <w:rPr>
          <w:rFonts w:hint="eastAsia" w:ascii="宋体" w:hAnsi="宋体" w:eastAsia="宋体" w:cs="宋体"/>
          <w:color w:val="auto"/>
          <w:highlight w:val="none"/>
          <w:lang w:eastAsia="zh-CN"/>
        </w:rPr>
      </w:pPr>
      <w:r>
        <w:rPr>
          <w:rFonts w:ascii="宋体" w:hAnsi="宋体" w:cs="宋体"/>
          <w:color w:val="auto"/>
          <w:highlight w:val="none"/>
        </w:rPr>
        <w:t>本公司（联合体）郑重声明，根据《政府采购促进中小企业发展管理办法》（财库﹝2020﹞46号）的规定，本公司（联合体）参加</w:t>
      </w:r>
      <w:r>
        <w:rPr>
          <w:rFonts w:ascii="宋体" w:hAnsi="宋体" w:cs="宋体"/>
          <w:color w:val="auto"/>
          <w:highlight w:val="none"/>
          <w:u w:val="single"/>
        </w:rPr>
        <w:t>（单位名称）</w:t>
      </w:r>
      <w:r>
        <w:rPr>
          <w:rFonts w:ascii="宋体" w:hAnsi="宋体" w:cs="宋体"/>
          <w:color w:val="auto"/>
          <w:highlight w:val="none"/>
        </w:rPr>
        <w:t>的</w:t>
      </w:r>
      <w:r>
        <w:rPr>
          <w:rFonts w:ascii="宋体" w:hAnsi="宋体" w:cs="宋体"/>
          <w:color w:val="auto"/>
          <w:highlight w:val="none"/>
          <w:u w:val="single"/>
        </w:rPr>
        <w:t>（项目名称）</w:t>
      </w:r>
      <w:r>
        <w:rPr>
          <w:rFonts w:ascii="宋体" w:hAnsi="宋体" w:cs="宋体"/>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878D8F3">
      <w:pPr>
        <w:pStyle w:val="25"/>
        <w:numPr>
          <w:ilvl w:val="0"/>
          <w:numId w:val="5"/>
        </w:numPr>
        <w:spacing w:line="360" w:lineRule="auto"/>
        <w:ind w:firstLine="480"/>
        <w:rPr>
          <w:rFonts w:ascii="宋体" w:hAnsi="宋体" w:cs="宋体"/>
          <w:color w:val="auto"/>
          <w:highlight w:val="none"/>
        </w:rPr>
      </w:pPr>
      <w:r>
        <w:rPr>
          <w:rFonts w:ascii="宋体" w:hAnsi="宋体" w:cs="宋体"/>
          <w:color w:val="auto"/>
          <w:highlight w:val="none"/>
          <w:u w:val="single"/>
        </w:rPr>
        <w:t>（标的名称）</w:t>
      </w:r>
      <w:r>
        <w:rPr>
          <w:rFonts w:ascii="宋体" w:hAnsi="宋体" w:cs="宋体"/>
          <w:color w:val="auto"/>
          <w:highlight w:val="none"/>
        </w:rPr>
        <w:t>，属于</w:t>
      </w:r>
      <w:r>
        <w:rPr>
          <w:rFonts w:ascii="宋体" w:hAnsi="宋体" w:cs="宋体"/>
          <w:color w:val="auto"/>
          <w:highlight w:val="none"/>
          <w:u w:val="single"/>
        </w:rPr>
        <w:t>（</w:t>
      </w:r>
      <w:r>
        <w:rPr>
          <w:rFonts w:hint="eastAsia" w:ascii="宋体" w:hAnsi="宋体" w:cs="宋体"/>
          <w:b/>
          <w:bCs/>
          <w:color w:val="auto"/>
          <w:highlight w:val="none"/>
          <w:u w:val="single"/>
          <w:lang w:val="en-US" w:eastAsia="zh-CN"/>
        </w:rPr>
        <w:t xml:space="preserve">    </w:t>
      </w:r>
      <w:r>
        <w:rPr>
          <w:rFonts w:ascii="宋体" w:hAnsi="宋体" w:cs="宋体"/>
          <w:color w:val="auto"/>
          <w:highlight w:val="none"/>
          <w:u w:val="single"/>
        </w:rPr>
        <w:t>）</w:t>
      </w:r>
      <w:r>
        <w:rPr>
          <w:rFonts w:ascii="宋体" w:hAnsi="宋体" w:cs="宋体"/>
          <w:color w:val="auto"/>
          <w:highlight w:val="none"/>
        </w:rPr>
        <w:t>；承建（承接）企业为</w:t>
      </w:r>
      <w:r>
        <w:rPr>
          <w:rFonts w:ascii="宋体" w:hAnsi="宋体" w:cs="宋体"/>
          <w:color w:val="auto"/>
          <w:highlight w:val="none"/>
          <w:u w:val="single"/>
        </w:rPr>
        <w:t>（企业名称）</w:t>
      </w:r>
      <w:r>
        <w:rPr>
          <w:rFonts w:ascii="宋体" w:hAnsi="宋体" w:cs="宋体"/>
          <w:color w:val="auto"/>
          <w:highlight w:val="none"/>
        </w:rPr>
        <w:t>，从业人员人，营业收入为万元，资产总额为万元，属于</w:t>
      </w:r>
      <w:r>
        <w:rPr>
          <w:rFonts w:ascii="宋体" w:hAnsi="宋体" w:cs="宋体"/>
          <w:color w:val="auto"/>
          <w:highlight w:val="none"/>
          <w:u w:val="single"/>
        </w:rPr>
        <w:t>（中型企业、小型企业、微型企业）</w:t>
      </w:r>
      <w:r>
        <w:rPr>
          <w:rFonts w:ascii="宋体" w:hAnsi="宋体" w:cs="宋体"/>
          <w:color w:val="auto"/>
          <w:highlight w:val="none"/>
        </w:rPr>
        <w:t>；</w:t>
      </w:r>
    </w:p>
    <w:p w14:paraId="45FEBD09">
      <w:pPr>
        <w:pStyle w:val="25"/>
        <w:numPr>
          <w:ilvl w:val="0"/>
          <w:numId w:val="5"/>
        </w:numPr>
        <w:spacing w:line="360" w:lineRule="auto"/>
        <w:ind w:firstLine="480"/>
        <w:rPr>
          <w:rFonts w:ascii="宋体" w:hAnsi="宋体" w:cs="宋体"/>
          <w:color w:val="auto"/>
          <w:highlight w:val="none"/>
        </w:rPr>
      </w:pPr>
      <w:r>
        <w:rPr>
          <w:rFonts w:ascii="宋体" w:hAnsi="宋体" w:cs="宋体"/>
          <w:color w:val="auto"/>
          <w:highlight w:val="none"/>
          <w:u w:val="single"/>
        </w:rPr>
        <w:t>（标的名称）</w:t>
      </w:r>
      <w:r>
        <w:rPr>
          <w:rFonts w:ascii="宋体" w:hAnsi="宋体" w:cs="宋体"/>
          <w:color w:val="auto"/>
          <w:highlight w:val="none"/>
        </w:rPr>
        <w:t>，属于</w:t>
      </w:r>
      <w:r>
        <w:rPr>
          <w:rFonts w:ascii="宋体" w:hAnsi="宋体" w:cs="宋体"/>
          <w:color w:val="auto"/>
          <w:highlight w:val="none"/>
          <w:u w:val="single"/>
        </w:rPr>
        <w:t>（</w:t>
      </w:r>
      <w:r>
        <w:rPr>
          <w:rFonts w:hint="eastAsia" w:ascii="宋体" w:hAnsi="宋体" w:cs="宋体"/>
          <w:b/>
          <w:bCs/>
          <w:color w:val="auto"/>
          <w:highlight w:val="none"/>
          <w:u w:val="single"/>
          <w:lang w:val="en-US" w:eastAsia="zh-CN"/>
        </w:rPr>
        <w:t xml:space="preserve">    </w:t>
      </w:r>
      <w:r>
        <w:rPr>
          <w:rFonts w:ascii="宋体" w:hAnsi="宋体" w:cs="宋体"/>
          <w:color w:val="auto"/>
          <w:highlight w:val="none"/>
          <w:u w:val="single"/>
        </w:rPr>
        <w:t>）</w:t>
      </w:r>
      <w:r>
        <w:rPr>
          <w:rFonts w:ascii="宋体" w:hAnsi="宋体" w:cs="宋体"/>
          <w:color w:val="auto"/>
          <w:highlight w:val="none"/>
        </w:rPr>
        <w:t>；承建（承接）企业为</w:t>
      </w:r>
      <w:r>
        <w:rPr>
          <w:rFonts w:ascii="宋体" w:hAnsi="宋体" w:cs="宋体"/>
          <w:color w:val="auto"/>
          <w:highlight w:val="none"/>
          <w:u w:val="single"/>
        </w:rPr>
        <w:t>（企业名称）</w:t>
      </w:r>
      <w:r>
        <w:rPr>
          <w:rFonts w:ascii="宋体" w:hAnsi="宋体" w:cs="宋体"/>
          <w:color w:val="auto"/>
          <w:highlight w:val="none"/>
        </w:rPr>
        <w:t>，从业人员人，营业收入为万元，资产总额为万元，属于</w:t>
      </w:r>
      <w:r>
        <w:rPr>
          <w:rFonts w:ascii="宋体" w:hAnsi="宋体" w:cs="宋体"/>
          <w:color w:val="auto"/>
          <w:highlight w:val="none"/>
          <w:u w:val="single"/>
        </w:rPr>
        <w:t>（中型企业、小型企业、微型企业）</w:t>
      </w:r>
      <w:r>
        <w:rPr>
          <w:rFonts w:ascii="宋体" w:hAnsi="宋体" w:cs="宋体"/>
          <w:color w:val="auto"/>
          <w:highlight w:val="none"/>
        </w:rPr>
        <w:t>；</w:t>
      </w:r>
    </w:p>
    <w:p w14:paraId="24F9C105">
      <w:pPr>
        <w:pStyle w:val="25"/>
        <w:spacing w:line="360" w:lineRule="auto"/>
        <w:ind w:left="420" w:leftChars="200" w:firstLine="0" w:firstLineChars="0"/>
        <w:rPr>
          <w:rFonts w:hint="eastAsia" w:ascii="宋体" w:hAnsi="宋体" w:eastAsia="宋体" w:cs="宋体"/>
          <w:color w:val="auto"/>
          <w:highlight w:val="none"/>
          <w:lang w:eastAsia="zh-CN"/>
        </w:rPr>
      </w:pPr>
      <w:r>
        <w:rPr>
          <w:rFonts w:ascii="宋体" w:hAnsi="宋体" w:cs="宋体"/>
          <w:color w:val="auto"/>
          <w:highlight w:val="none"/>
        </w:rPr>
        <w:t>……</w:t>
      </w:r>
    </w:p>
    <w:p w14:paraId="0F9D9A55">
      <w:pPr>
        <w:pStyle w:val="25"/>
        <w:spacing w:line="360" w:lineRule="auto"/>
        <w:ind w:firstLine="480"/>
        <w:rPr>
          <w:rFonts w:hint="eastAsia" w:ascii="宋体" w:hAnsi="宋体" w:eastAsia="宋体" w:cs="宋体"/>
          <w:color w:val="auto"/>
          <w:highlight w:val="none"/>
          <w:lang w:eastAsia="zh-CN"/>
        </w:rPr>
      </w:pPr>
      <w:r>
        <w:rPr>
          <w:rFonts w:ascii="宋体" w:hAnsi="宋体" w:cs="宋体"/>
          <w:color w:val="auto"/>
          <w:highlight w:val="none"/>
        </w:rPr>
        <w:t>以上企业，不属于大企业的分支机构，不存在控股股东为大企业的情形，也不存在与大企业的负责人为同一人的情形。</w:t>
      </w:r>
    </w:p>
    <w:p w14:paraId="24CE9C27">
      <w:pPr>
        <w:pStyle w:val="25"/>
        <w:spacing w:line="360" w:lineRule="auto"/>
        <w:ind w:left="420" w:leftChars="200" w:firstLine="0" w:firstLineChars="0"/>
        <w:rPr>
          <w:rFonts w:hint="eastAsia" w:ascii="宋体" w:hAnsi="宋体" w:eastAsia="宋体" w:cs="宋体"/>
          <w:color w:val="auto"/>
          <w:highlight w:val="none"/>
          <w:lang w:eastAsia="zh-CN"/>
        </w:rPr>
      </w:pPr>
      <w:r>
        <w:rPr>
          <w:rFonts w:ascii="宋体" w:hAnsi="宋体" w:cs="宋体"/>
          <w:color w:val="auto"/>
          <w:highlight w:val="none"/>
        </w:rPr>
        <w:t>本企业对上述声明内容的真实性负责。如有虚假，将依法承担相应责任。</w:t>
      </w:r>
    </w:p>
    <w:p w14:paraId="7EE706C6">
      <w:pPr>
        <w:pStyle w:val="25"/>
        <w:spacing w:line="360" w:lineRule="auto"/>
        <w:ind w:left="420" w:leftChars="200" w:firstLine="0" w:firstLineChars="0"/>
        <w:rPr>
          <w:rFonts w:ascii="宋体" w:hAnsi="宋体" w:cs="宋体"/>
          <w:color w:val="auto"/>
          <w:highlight w:val="none"/>
        </w:rPr>
      </w:pPr>
    </w:p>
    <w:p w14:paraId="29712534">
      <w:pPr>
        <w:pStyle w:val="25"/>
        <w:spacing w:line="360" w:lineRule="auto"/>
        <w:ind w:left="420" w:leftChars="200" w:firstLine="0" w:firstLineChars="0"/>
        <w:jc w:val="center"/>
        <w:rPr>
          <w:rFonts w:hint="eastAsia" w:ascii="宋体" w:hAnsi="宋体" w:eastAsia="宋体" w:cs="宋体"/>
          <w:color w:val="auto"/>
          <w:highlight w:val="none"/>
          <w:lang w:eastAsia="zh-CN"/>
        </w:rPr>
      </w:pPr>
      <w:r>
        <w:rPr>
          <w:rFonts w:ascii="宋体" w:hAnsi="宋体" w:cs="宋体"/>
          <w:color w:val="auto"/>
          <w:highlight w:val="none"/>
        </w:rPr>
        <w:t>企业名称（盖章）：</w:t>
      </w:r>
    </w:p>
    <w:p w14:paraId="5884FB3E">
      <w:pPr>
        <w:pStyle w:val="25"/>
        <w:spacing w:line="360" w:lineRule="auto"/>
        <w:ind w:left="420" w:leftChars="200" w:firstLine="2880" w:firstLineChars="1200"/>
        <w:jc w:val="both"/>
        <w:rPr>
          <w:rFonts w:ascii="宋体" w:hAnsi="宋体" w:cs="宋体"/>
          <w:color w:val="auto"/>
          <w:highlight w:val="none"/>
        </w:rPr>
      </w:pPr>
      <w:r>
        <w:rPr>
          <w:rFonts w:ascii="宋体" w:hAnsi="宋体" w:cs="宋体"/>
          <w:color w:val="auto"/>
          <w:highlight w:val="none"/>
        </w:rPr>
        <w:t>日期：</w:t>
      </w:r>
    </w:p>
    <w:p w14:paraId="06290436">
      <w:pPr>
        <w:pStyle w:val="25"/>
        <w:spacing w:line="360" w:lineRule="auto"/>
        <w:ind w:left="420" w:leftChars="200" w:firstLine="2880" w:firstLineChars="1200"/>
        <w:jc w:val="both"/>
        <w:rPr>
          <w:rFonts w:hint="eastAsia" w:ascii="宋体" w:hAnsi="宋体" w:cs="宋体"/>
          <w:color w:val="auto"/>
          <w:highlight w:val="none"/>
        </w:rPr>
      </w:pPr>
    </w:p>
    <w:p w14:paraId="10A6F6D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注：中小企业参加政府采购活动时需提供本声明函，否则</w:t>
      </w:r>
      <w:r>
        <w:rPr>
          <w:rFonts w:ascii="宋体" w:hAnsi="宋体" w:cs="宋体"/>
          <w:color w:val="auto"/>
          <w:sz w:val="24"/>
          <w:highlight w:val="none"/>
        </w:rPr>
        <w:t>不享受中小企业扶持政策。</w:t>
      </w:r>
    </w:p>
    <w:p w14:paraId="6D35B5CD">
      <w:pPr>
        <w:pStyle w:val="25"/>
        <w:spacing w:line="360" w:lineRule="auto"/>
        <w:ind w:firstLine="480"/>
        <w:rPr>
          <w:rFonts w:hint="eastAsia" w:ascii="宋体" w:hAnsi="宋体" w:cs="宋体"/>
          <w:color w:val="auto"/>
          <w:highlight w:val="none"/>
        </w:rPr>
      </w:pPr>
      <w:r>
        <w:rPr>
          <w:rFonts w:hint="eastAsia" w:ascii="宋体" w:hAnsi="宋体" w:cs="宋体"/>
          <w:color w:val="auto"/>
          <w:highlight w:val="none"/>
        </w:rPr>
        <w:t>供应商提供虚假材料谋取中标的，根据《中华人民共和国政府采购法》第七十七条规定，由财政部门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DAEE23A">
      <w:pPr>
        <w:spacing w:line="480" w:lineRule="exact"/>
        <w:jc w:val="center"/>
        <w:rPr>
          <w:rFonts w:ascii="宋体" w:hAnsi="宋体" w:cs="宋体"/>
          <w:b/>
          <w:color w:val="auto"/>
          <w:kern w:val="1"/>
          <w:sz w:val="32"/>
          <w:szCs w:val="28"/>
          <w:highlight w:val="none"/>
        </w:rPr>
      </w:pPr>
      <w:r>
        <w:rPr>
          <w:rFonts w:hint="eastAsia" w:ascii="宋体" w:hAnsi="宋体" w:cs="宋体"/>
          <w:b/>
          <w:color w:val="auto"/>
          <w:kern w:val="1"/>
          <w:sz w:val="32"/>
          <w:szCs w:val="28"/>
          <w:highlight w:val="none"/>
        </w:rPr>
        <w:t>中小企业划型标准规定</w:t>
      </w:r>
    </w:p>
    <w:p w14:paraId="6955E712">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一、根据《中华人民共和国中小企业促进法》和《国务院关于进一步促进中小企业发展的若干意见》(国发〔2009〕36号)，制定本规定。</w:t>
      </w:r>
    </w:p>
    <w:p w14:paraId="43E3E4E0">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二、中小企业划分为中型、小型、微型三种类型，具体标准根据企业从业人员、营业收入、资产总额等指标，结合行业特点制定。</w:t>
      </w:r>
    </w:p>
    <w:p w14:paraId="7398D8BA">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32BCB2B">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四、各行业划型标准为：</w:t>
      </w:r>
    </w:p>
    <w:p w14:paraId="7AFB2BA1">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(一)农、林、牧、渔业。营业收入20000万元以下的为中小微型企业。其中，营业收入500万元及以上的为中型企业，营业收入50万元及以上的为小型企业，营业收入50万元以下的为微型企业。</w:t>
      </w:r>
    </w:p>
    <w:p w14:paraId="50CABF5F">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48736AC">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392AE76">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26D9219">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A4C1AB5">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0C316CA">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38EC888">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5307143">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052B546">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2A7DC9">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1341568">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E7FA92E">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35512C3">
      <w:pPr>
        <w:spacing w:line="480" w:lineRule="exact"/>
        <w:rPr>
          <w:rFonts w:ascii="宋体" w:hAnsi="宋体" w:cs="宋体"/>
          <w:b/>
          <w:bCs/>
          <w:color w:val="auto"/>
          <w:kern w:val="1"/>
          <w:sz w:val="24"/>
          <w:highlight w:val="none"/>
        </w:rPr>
      </w:pPr>
      <w:r>
        <w:rPr>
          <w:rFonts w:hint="eastAsia" w:ascii="宋体" w:hAnsi="宋体" w:cs="宋体"/>
          <w:b/>
          <w:bCs/>
          <w:color w:val="auto"/>
          <w:kern w:val="1"/>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F3E9C66">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86D1837">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(十六)其他未列明行业。从业人员300人以下的为中小微型企业。其中，从业人员100人及以上的为中型企业；从业人员10人及以上的为小型企业；从业人员10人以下的为微型企业。</w:t>
      </w:r>
    </w:p>
    <w:p w14:paraId="50E41578">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五、企业类型的划分以统计部门的统计数据为依据。</w:t>
      </w:r>
    </w:p>
    <w:p w14:paraId="2295EEA4">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六、本规定适用于在中华人民共和国境内依法设立的各类所有制和各种组织形式的企业。个体工商户和本规定以外的行业，参照本规定进行划型。</w:t>
      </w:r>
    </w:p>
    <w:p w14:paraId="23E927C9">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4FD4CFD">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八、本规定由工业和信息化部、国家统计局会同有关部门根据《国民经济行业分类》修订情况和企业发展变化情况适时修订。</w:t>
      </w:r>
    </w:p>
    <w:p w14:paraId="2F63B397">
      <w:pPr>
        <w:spacing w:line="480" w:lineRule="exact"/>
        <w:rPr>
          <w:rFonts w:ascii="宋体" w:hAnsi="宋体" w:cs="宋体"/>
          <w:color w:val="auto"/>
          <w:kern w:val="1"/>
          <w:sz w:val="24"/>
          <w:highlight w:val="none"/>
        </w:rPr>
      </w:pPr>
      <w:r>
        <w:rPr>
          <w:rFonts w:hint="eastAsia" w:ascii="宋体" w:hAnsi="宋体" w:cs="宋体"/>
          <w:color w:val="auto"/>
          <w:kern w:val="1"/>
          <w:sz w:val="24"/>
          <w:highlight w:val="none"/>
        </w:rPr>
        <w:t>九、本规定由工业和信息化部、国家统计局会同有关部门负责解释。</w:t>
      </w:r>
    </w:p>
    <w:p w14:paraId="57E25353">
      <w:pPr>
        <w:topLinePunct/>
        <w:spacing w:line="480" w:lineRule="exact"/>
        <w:rPr>
          <w:rFonts w:ascii="仿宋" w:hAnsi="仿宋" w:eastAsia="仿宋" w:cs="仿宋"/>
          <w:color w:val="auto"/>
          <w:sz w:val="24"/>
          <w:highlight w:val="none"/>
        </w:rPr>
      </w:pPr>
      <w:r>
        <w:rPr>
          <w:rFonts w:hint="eastAsia" w:ascii="宋体" w:hAnsi="宋体" w:cs="宋体"/>
          <w:color w:val="auto"/>
          <w:kern w:val="1"/>
          <w:sz w:val="24"/>
          <w:highlight w:val="none"/>
        </w:rPr>
        <w:t>十、本规定自发布之日起执行，原国家经贸委、原国家计委、财政部和国家统计局2003年颁布的《中小企业标准暂行规定》同时废止。</w:t>
      </w:r>
    </w:p>
    <w:p w14:paraId="4E4F5D6C">
      <w:pPr>
        <w:pStyle w:val="25"/>
        <w:spacing w:line="360" w:lineRule="auto"/>
        <w:ind w:firstLine="480"/>
        <w:rPr>
          <w:rFonts w:hint="eastAsia" w:ascii="宋体" w:hAnsi="宋体" w:cs="宋体"/>
          <w:color w:val="auto"/>
          <w:highlight w:val="none"/>
        </w:rPr>
      </w:pPr>
    </w:p>
    <w:p w14:paraId="06D23E6B">
      <w:pPr>
        <w:topLinePunct/>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rPr>
        <w:t>11.3残疾人福利性单位声明函</w:t>
      </w:r>
    </w:p>
    <w:p w14:paraId="307DB11C">
      <w:pPr>
        <w:topLinePunct/>
        <w:spacing w:line="360" w:lineRule="auto"/>
        <w:jc w:val="center"/>
        <w:rPr>
          <w:rFonts w:ascii="宋体" w:hAnsi="宋体" w:cs="宋体"/>
          <w:b/>
          <w:color w:val="auto"/>
          <w:sz w:val="32"/>
          <w:szCs w:val="32"/>
          <w:highlight w:val="none"/>
        </w:rPr>
      </w:pPr>
    </w:p>
    <w:p w14:paraId="0246C669">
      <w:pPr>
        <w:topLinePunct/>
        <w:spacing w:line="360" w:lineRule="auto"/>
        <w:ind w:firstLine="480" w:firstLineChars="200"/>
        <w:rPr>
          <w:rFonts w:ascii="宋体" w:hAnsi="宋体" w:cs="宋体"/>
          <w:color w:val="auto"/>
          <w:sz w:val="24"/>
          <w:highlight w:val="none"/>
          <w:shd w:val="clear" w:color="auto" w:fill="FFFFFF"/>
          <w:lang w:bidi="ar"/>
        </w:rPr>
      </w:pPr>
      <w:r>
        <w:rPr>
          <w:rFonts w:hint="eastAsia" w:ascii="宋体" w:hAnsi="宋体" w:cs="宋体"/>
          <w:color w:val="auto"/>
          <w:sz w:val="24"/>
          <w:highlight w:val="none"/>
          <w:shd w:val="clear" w:color="auto" w:fill="FFFFFF"/>
          <w:lang w:bidi="ar"/>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ACFD540">
      <w:pPr>
        <w:topLinePunct/>
        <w:spacing w:line="360" w:lineRule="auto"/>
        <w:ind w:firstLine="480" w:firstLineChars="200"/>
        <w:rPr>
          <w:rFonts w:ascii="宋体" w:hAnsi="宋体" w:cs="宋体"/>
          <w:color w:val="auto"/>
          <w:sz w:val="24"/>
          <w:highlight w:val="none"/>
          <w:shd w:val="clear" w:color="auto" w:fill="FFFFFF"/>
          <w:lang w:bidi="ar"/>
        </w:rPr>
      </w:pPr>
      <w:r>
        <w:rPr>
          <w:rFonts w:hint="eastAsia" w:ascii="宋体" w:hAnsi="宋体" w:cs="宋体"/>
          <w:color w:val="auto"/>
          <w:sz w:val="24"/>
          <w:highlight w:val="none"/>
          <w:shd w:val="clear" w:color="auto" w:fill="FFFFFF"/>
          <w:lang w:bidi="ar"/>
        </w:rPr>
        <w:t>本单位对上述声明的真实性负责。如有虚假，将依法承担相应责任。</w:t>
      </w:r>
    </w:p>
    <w:p w14:paraId="50F4E507">
      <w:pPr>
        <w:topLinePunct/>
        <w:spacing w:line="360" w:lineRule="auto"/>
        <w:ind w:firstLine="480" w:firstLineChars="200"/>
        <w:rPr>
          <w:rFonts w:ascii="宋体" w:hAnsi="宋体" w:cs="宋体"/>
          <w:color w:val="auto"/>
          <w:sz w:val="24"/>
          <w:highlight w:val="none"/>
          <w:shd w:val="clear" w:color="auto" w:fill="FFFFFF"/>
          <w:lang w:bidi="ar"/>
        </w:rPr>
      </w:pPr>
    </w:p>
    <w:p w14:paraId="4A064230">
      <w:pPr>
        <w:topLinePunct/>
        <w:spacing w:line="360" w:lineRule="auto"/>
        <w:ind w:firstLine="480" w:firstLineChars="200"/>
        <w:rPr>
          <w:rFonts w:ascii="宋体" w:hAnsi="宋体" w:cs="宋体"/>
          <w:color w:val="auto"/>
          <w:sz w:val="24"/>
          <w:highlight w:val="none"/>
          <w:shd w:val="clear" w:color="auto" w:fill="FFFFFF"/>
          <w:lang w:bidi="ar"/>
        </w:rPr>
      </w:pPr>
    </w:p>
    <w:p w14:paraId="0D676726">
      <w:pPr>
        <w:topLinePunct/>
        <w:spacing w:line="360" w:lineRule="auto"/>
        <w:ind w:firstLine="480" w:firstLineChars="200"/>
        <w:rPr>
          <w:rFonts w:ascii="宋体" w:hAnsi="宋体" w:cs="宋体"/>
          <w:color w:val="auto"/>
          <w:sz w:val="24"/>
          <w:highlight w:val="none"/>
          <w:shd w:val="clear" w:color="auto" w:fill="FFFFFF"/>
          <w:lang w:bidi="ar"/>
        </w:rPr>
      </w:pPr>
      <w:r>
        <w:rPr>
          <w:rFonts w:hint="eastAsia" w:ascii="宋体" w:hAnsi="宋体" w:cs="宋体"/>
          <w:color w:val="auto"/>
          <w:sz w:val="24"/>
          <w:highlight w:val="none"/>
          <w:shd w:val="clear" w:color="auto" w:fill="FFFFFF"/>
          <w:lang w:bidi="ar"/>
        </w:rPr>
        <w:t>单位名称（盖章）：</w:t>
      </w:r>
    </w:p>
    <w:p w14:paraId="77682504">
      <w:pPr>
        <w:topLinePunct/>
        <w:spacing w:line="360" w:lineRule="auto"/>
        <w:ind w:firstLine="480" w:firstLineChars="200"/>
        <w:rPr>
          <w:rFonts w:ascii="宋体" w:hAnsi="宋体" w:cs="宋体"/>
          <w:color w:val="auto"/>
          <w:sz w:val="24"/>
          <w:highlight w:val="none"/>
          <w:shd w:val="clear" w:color="auto" w:fill="FFFFFF"/>
          <w:lang w:bidi="ar"/>
        </w:rPr>
      </w:pPr>
      <w:r>
        <w:rPr>
          <w:rFonts w:hint="eastAsia" w:ascii="宋体" w:hAnsi="宋体" w:cs="宋体"/>
          <w:color w:val="auto"/>
          <w:sz w:val="24"/>
          <w:highlight w:val="none"/>
          <w:shd w:val="clear" w:color="auto" w:fill="FFFFFF"/>
          <w:lang w:bidi="ar"/>
        </w:rPr>
        <w:t>日期：</w:t>
      </w:r>
    </w:p>
    <w:p w14:paraId="476202A6">
      <w:pPr>
        <w:topLinePunct/>
        <w:spacing w:line="360" w:lineRule="auto"/>
        <w:ind w:firstLine="480" w:firstLineChars="200"/>
        <w:rPr>
          <w:rFonts w:ascii="宋体" w:hAnsi="宋体" w:cs="宋体"/>
          <w:color w:val="auto"/>
          <w:highlight w:val="none"/>
        </w:rPr>
      </w:pPr>
      <w:r>
        <w:rPr>
          <w:rFonts w:hint="eastAsia" w:ascii="宋体" w:hAnsi="宋体" w:cs="宋体"/>
          <w:bCs/>
          <w:color w:val="auto"/>
          <w:sz w:val="24"/>
          <w:highlight w:val="none"/>
        </w:rPr>
        <w:t>注：成交人为残疾人福利性单位的，采购人或者其委托的采购代理机构应当随中标、成交结果同时公告其《残疾人福利性单位声明函》，接受社会监督。供应商属于残疾人福利性单位的，需提供本表并上传至电子投标系统，否则不予优惠。若不属于，则不需提供本表。</w:t>
      </w:r>
    </w:p>
    <w:p w14:paraId="5B8E4590">
      <w:pPr>
        <w:topLinePunct/>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供应商提供的《残疾人福利性单位声明函》与事实不符的，依照《政府采购法》第七十七条第一款的规定追究法律责任。</w:t>
      </w:r>
    </w:p>
    <w:p w14:paraId="280D8237">
      <w:pPr>
        <w:pStyle w:val="29"/>
        <w:spacing w:line="360" w:lineRule="auto"/>
        <w:ind w:firstLine="480"/>
        <w:rPr>
          <w:rFonts w:ascii="宋体" w:hAnsi="宋体" w:cs="宋体"/>
          <w:bCs/>
          <w:color w:val="auto"/>
          <w:sz w:val="24"/>
          <w:highlight w:val="none"/>
        </w:rPr>
      </w:pPr>
      <w:r>
        <w:rPr>
          <w:rFonts w:hint="eastAsia" w:ascii="宋体" w:hAnsi="宋体" w:cs="宋体"/>
          <w:bCs/>
          <w:color w:val="auto"/>
          <w:sz w:val="24"/>
          <w:highlight w:val="none"/>
        </w:rPr>
        <w:t>《中国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C87887">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（一）提供虚假材料谋取中标、成交的；</w:t>
      </w:r>
    </w:p>
    <w:p w14:paraId="22BFAC66">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（二）采取不正当手段诋毁、排挤其他供应商的；</w:t>
      </w:r>
    </w:p>
    <w:p w14:paraId="43DC9326">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（三）与采购人、其他供应商或者采购代理机构恶意串通的；</w:t>
      </w:r>
    </w:p>
    <w:p w14:paraId="7C08435D">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（四）向采购人、采购代理机构行贿或者提供其他不正当利益的；</w:t>
      </w:r>
    </w:p>
    <w:p w14:paraId="4C9070CF">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（五）在招标采购过程中与采购人进行协商谈判的；</w:t>
      </w:r>
    </w:p>
    <w:p w14:paraId="384EDA64">
      <w:pPr>
        <w:pStyle w:val="29"/>
        <w:spacing w:line="360" w:lineRule="auto"/>
        <w:ind w:firstLine="0" w:firstLineChars="0"/>
        <w:rPr>
          <w:rFonts w:ascii="宋体" w:hAnsi="宋体" w:cs="宋体"/>
          <w:bCs/>
          <w:color w:val="auto"/>
          <w:sz w:val="24"/>
          <w:highlight w:val="none"/>
        </w:rPr>
      </w:pPr>
      <w:r>
        <w:rPr>
          <w:rFonts w:hint="eastAsia" w:ascii="宋体" w:hAnsi="宋体" w:cs="宋体"/>
          <w:bCs/>
          <w:color w:val="auto"/>
          <w:sz w:val="24"/>
          <w:highlight w:val="none"/>
        </w:rPr>
        <w:t>（六）拒绝有关部门监督检查或者提供虚假情况的。</w:t>
      </w:r>
    </w:p>
    <w:p w14:paraId="61D79952">
      <w:pPr>
        <w:pStyle w:val="29"/>
        <w:spacing w:line="360" w:lineRule="auto"/>
        <w:ind w:firstLine="0" w:firstLineChars="0"/>
        <w:rPr>
          <w:rFonts w:hint="eastAsia" w:ascii="宋体" w:hAnsi="宋体" w:cs="宋体"/>
          <w:bCs/>
          <w:color w:val="auto"/>
          <w:sz w:val="24"/>
          <w:highlight w:val="none"/>
        </w:rPr>
      </w:pPr>
      <w:r>
        <w:rPr>
          <w:rFonts w:hint="eastAsia" w:ascii="宋体" w:hAnsi="宋体" w:cs="宋体"/>
          <w:bCs/>
          <w:color w:val="auto"/>
          <w:sz w:val="24"/>
          <w:highlight w:val="none"/>
        </w:rPr>
        <w:t>供应商有前款第（一）至（五）项情形之一的，中标、成交无效。</w:t>
      </w:r>
    </w:p>
    <w:p w14:paraId="303DD022">
      <w:pPr>
        <w:spacing w:line="480" w:lineRule="exact"/>
        <w:jc w:val="center"/>
        <w:rPr>
          <w:rFonts w:ascii="宋体" w:hAnsi="宋体" w:cs="宋体"/>
          <w:b/>
          <w:color w:val="auto"/>
          <w:kern w:val="1"/>
          <w:sz w:val="32"/>
          <w:szCs w:val="28"/>
          <w:highlight w:val="none"/>
        </w:rPr>
      </w:pPr>
      <w:r>
        <w:rPr>
          <w:rFonts w:hint="eastAsia" w:ascii="宋体" w:hAnsi="宋体" w:cs="宋体"/>
          <w:b/>
          <w:color w:val="auto"/>
          <w:sz w:val="32"/>
          <w:szCs w:val="32"/>
          <w:highlight w:val="none"/>
        </w:rPr>
        <w:t>残疾人福利性单位</w:t>
      </w:r>
      <w:r>
        <w:rPr>
          <w:rFonts w:hint="eastAsia" w:ascii="宋体" w:hAnsi="宋体" w:cs="宋体"/>
          <w:b/>
          <w:color w:val="auto"/>
          <w:kern w:val="1"/>
          <w:sz w:val="32"/>
          <w:szCs w:val="28"/>
          <w:highlight w:val="none"/>
        </w:rPr>
        <w:t>标准规定</w:t>
      </w:r>
    </w:p>
    <w:p w14:paraId="686F3173">
      <w:pPr>
        <w:pStyle w:val="18"/>
        <w:spacing w:line="480" w:lineRule="exact"/>
        <w:ind w:left="0" w:leftChars="0" w:firstLine="480" w:firstLineChars="200"/>
        <w:rPr>
          <w:color w:val="auto"/>
          <w:sz w:val="24"/>
          <w:highlight w:val="none"/>
        </w:rPr>
      </w:pPr>
      <w:r>
        <w:rPr>
          <w:rFonts w:hint="eastAsia"/>
          <w:color w:val="auto"/>
          <w:sz w:val="24"/>
          <w:highlight w:val="none"/>
        </w:rPr>
        <w:t>根据《财政部民政部中国残疾人联合会关于促进残疾人就业政府采购政策的通知》（财库〔2017〕141号）文件规定：</w:t>
      </w:r>
    </w:p>
    <w:p w14:paraId="033D743F">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一、享受政府采购支持政策的残疾人福利性单位应当同时满足以下条件：</w:t>
      </w:r>
    </w:p>
    <w:p w14:paraId="18710C5F">
      <w:pPr>
        <w:pStyle w:val="16"/>
        <w:spacing w:beforeAutospacing="0" w:afterAutospacing="0" w:line="480" w:lineRule="exact"/>
        <w:ind w:firstLine="482"/>
        <w:jc w:val="both"/>
        <w:rPr>
          <w:rFonts w:ascii="宋体" w:hAnsi="宋体" w:cs="宋体"/>
          <w:bCs/>
          <w:color w:val="auto"/>
          <w:kern w:val="2"/>
          <w:highlight w:val="none"/>
        </w:rPr>
      </w:pPr>
      <w:r>
        <w:rPr>
          <w:rFonts w:ascii="&amp;quot" w:hAnsi="&amp;quot" w:cs="&amp;quot"/>
          <w:color w:val="auto"/>
          <w:highlight w:val="none"/>
        </w:rPr>
        <w:t>（一）安置的残疾人占本单位在职职工人数的比例不低</w:t>
      </w:r>
      <w:r>
        <w:rPr>
          <w:rFonts w:ascii="宋体" w:hAnsi="宋体" w:cs="宋体"/>
          <w:bCs/>
          <w:color w:val="auto"/>
          <w:kern w:val="2"/>
          <w:highlight w:val="none"/>
        </w:rPr>
        <w:t>于25%（含25%），并且安置的残疾人数不少于10人（含10人）；</w:t>
      </w:r>
    </w:p>
    <w:p w14:paraId="23C7F43A">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（二）依法与安置的每位残疾人签订了一年以上（含一年）的劳动合同或服务协议；</w:t>
      </w:r>
    </w:p>
    <w:p w14:paraId="71AAB6FA">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（三）为安置的每位残疾人按月足额缴纳了基本养老保险、基本医疗保险、失业保险、工伤保险和生育保险等社会保险费；</w:t>
      </w:r>
    </w:p>
    <w:p w14:paraId="23C90756">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（四）通过银行等金融机构向安置的每位残疾人，按月支付了不低于单位所在区县适用的经省级人民政府批准的月最低工资标准的工资；</w:t>
      </w:r>
    </w:p>
    <w:p w14:paraId="3D0EC937">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（五）提供本单位制造的货物、承担的工程或者服务（以下简称产品），或者提供其他残疾人福利性单位制造的货物（不包括使用非残疾人福利性单位注册商标的货物）。</w:t>
      </w:r>
    </w:p>
    <w:p w14:paraId="74AC908D">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前款所称残疾人是指法定劳动年龄内，持有《中华人民共和国残疾人证》或者《中华人民共和国残疾军</w:t>
      </w:r>
      <w:r>
        <w:rPr>
          <w:rFonts w:ascii="宋体" w:hAnsi="宋体" w:cs="宋体"/>
          <w:bCs/>
          <w:color w:val="auto"/>
          <w:kern w:val="2"/>
          <w:highlight w:val="none"/>
        </w:rPr>
        <w:t>人证（1至8级）》</w:t>
      </w:r>
      <w:r>
        <w:rPr>
          <w:rFonts w:ascii="&amp;quot" w:hAnsi="&amp;quot" w:cs="&amp;quot"/>
          <w:color w:val="auto"/>
          <w:highlight w:val="none"/>
        </w:rPr>
        <w:t>的自然人，包括具有劳动条件和劳动意愿的精神残疾人。在职职工人数是指与残疾人福利性单位建立劳动关系并依法签订劳动合同或者服务协议的雇员人数。</w:t>
      </w:r>
    </w:p>
    <w:p w14:paraId="06B429E0">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B2818CF">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中标</w:t>
      </w:r>
      <w:r>
        <w:rPr>
          <w:rFonts w:hint="eastAsia" w:ascii="&amp;quot" w:hAnsi="&amp;quot" w:cs="&amp;quot"/>
          <w:color w:val="auto"/>
          <w:highlight w:val="none"/>
        </w:rPr>
        <w:t>供应商</w:t>
      </w:r>
      <w:r>
        <w:rPr>
          <w:rFonts w:ascii="&amp;quot" w:hAnsi="&amp;quot" w:cs="&amp;quot"/>
          <w:color w:val="auto"/>
          <w:highlight w:val="none"/>
        </w:rPr>
        <w:t>为残疾人福利性单位的，采购人或者其委托的采购代理机构应当随中标、成交结果同时公告其《残疾人福利性单位声明函》，接受社会监督。</w:t>
      </w:r>
    </w:p>
    <w:p w14:paraId="7BBF6D4B">
      <w:pPr>
        <w:pStyle w:val="16"/>
        <w:spacing w:beforeAutospacing="0" w:afterAutospacing="0" w:line="480" w:lineRule="exact"/>
        <w:ind w:firstLine="482"/>
        <w:jc w:val="both"/>
        <w:rPr>
          <w:rFonts w:ascii="&amp;quot" w:hAnsi="&amp;quot" w:cs="&amp;quot"/>
          <w:color w:val="auto"/>
          <w:highlight w:val="none"/>
        </w:rPr>
      </w:pPr>
      <w:r>
        <w:rPr>
          <w:rFonts w:hint="eastAsia" w:ascii="&amp;quot" w:hAnsi="&amp;quot" w:cs="&amp;quot"/>
          <w:color w:val="auto"/>
          <w:highlight w:val="none"/>
        </w:rPr>
        <w:t>供应商</w:t>
      </w:r>
      <w:r>
        <w:rPr>
          <w:rFonts w:ascii="&amp;quot" w:hAnsi="&amp;quot" w:cs="&amp;quot"/>
          <w:color w:val="auto"/>
          <w:highlight w:val="none"/>
        </w:rPr>
        <w:t>提供的《残疾人福利性单位声明函》与事实不符的，依照《政府采购法》第七十七条第一款的规定追究法律责任。</w:t>
      </w:r>
    </w:p>
    <w:p w14:paraId="3802D74F">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258EF4BE">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四、采购人采购公开招标数额标准以上的货物或者服务，因落实促进残疾人就业政策的需要，依法履行有关报批程序后，可采用公开招标以外的采购方式。</w:t>
      </w:r>
    </w:p>
    <w:p w14:paraId="60E08FD5">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6D72C842">
      <w:pPr>
        <w:pStyle w:val="16"/>
        <w:spacing w:beforeAutospacing="0" w:afterAutospacing="0" w:line="480" w:lineRule="exact"/>
        <w:ind w:firstLine="482"/>
        <w:jc w:val="both"/>
        <w:rPr>
          <w:rFonts w:ascii="&amp;quot" w:hAnsi="&amp;quot" w:cs="&amp;quot"/>
          <w:color w:val="auto"/>
          <w:highlight w:val="none"/>
        </w:rPr>
      </w:pPr>
      <w:r>
        <w:rPr>
          <w:rFonts w:ascii="&amp;quot" w:hAnsi="&amp;quot" w:cs="&amp;quot"/>
          <w:color w:val="auto"/>
          <w:highlight w:val="none"/>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0166A50">
      <w:pPr>
        <w:spacing w:line="360" w:lineRule="auto"/>
        <w:ind w:left="1079" w:leftChars="257" w:hanging="540"/>
        <w:rPr>
          <w:rFonts w:ascii="宋体" w:hAnsi="宋体" w:cs="宋体"/>
          <w:color w:val="auto"/>
          <w:kern w:val="0"/>
          <w:sz w:val="24"/>
          <w:szCs w:val="20"/>
          <w:highlight w:val="none"/>
        </w:rPr>
      </w:pPr>
    </w:p>
    <w:p w14:paraId="61515F94">
      <w:pPr>
        <w:spacing w:line="360" w:lineRule="auto"/>
        <w:jc w:val="center"/>
        <w:rPr>
          <w:rFonts w:ascii="宋体" w:hAnsi="宋体" w:cs="宋体"/>
          <w:b/>
          <w:color w:val="auto"/>
          <w:kern w:val="0"/>
          <w:sz w:val="24"/>
          <w:szCs w:val="20"/>
          <w:highlight w:val="none"/>
        </w:rPr>
      </w:pPr>
      <w:r>
        <w:rPr>
          <w:rFonts w:hint="eastAsia" w:ascii="宋体" w:hAnsi="宋体" w:cs="宋体"/>
          <w:b/>
          <w:color w:val="auto"/>
          <w:kern w:val="0"/>
          <w:sz w:val="24"/>
          <w:szCs w:val="20"/>
          <w:highlight w:val="none"/>
        </w:rPr>
        <w:t>11.4省级以上监狱管理局、戒毒管理局（含新疆生产建设兵团）出具的属于监狱企业的证明文件复印件</w:t>
      </w:r>
    </w:p>
    <w:p w14:paraId="370CF12A">
      <w:pPr>
        <w:keepNext/>
        <w:keepLines/>
        <w:autoSpaceDE w:val="0"/>
        <w:autoSpaceDN w:val="0"/>
        <w:adjustRightInd w:val="0"/>
        <w:spacing w:line="360" w:lineRule="auto"/>
        <w:ind w:left="1079" w:leftChars="257" w:hanging="540"/>
        <w:rPr>
          <w:rFonts w:ascii="宋体" w:hAnsi="宋体" w:cs="宋体"/>
          <w:b/>
          <w:color w:val="auto"/>
          <w:kern w:val="0"/>
          <w:sz w:val="30"/>
          <w:szCs w:val="20"/>
          <w:highlight w:val="none"/>
        </w:rPr>
        <w:sectPr>
          <w:pgSz w:w="11906" w:h="16838"/>
          <w:pgMar w:top="1440" w:right="1797" w:bottom="1440" w:left="1797" w:header="851" w:footer="992" w:gutter="0"/>
          <w:cols w:space="720" w:num="1"/>
          <w:docGrid w:type="linesAndChars" w:linePitch="312" w:charSpace="0"/>
        </w:sectPr>
      </w:pPr>
    </w:p>
    <w:bookmarkEnd w:id="334"/>
    <w:p w14:paraId="66C00ADA">
      <w:pPr>
        <w:pStyle w:val="5"/>
        <w:spacing w:line="360" w:lineRule="auto"/>
        <w:rPr>
          <w:rFonts w:hAnsi="宋体" w:cs="宋体"/>
          <w:color w:val="auto"/>
          <w:highlight w:val="none"/>
          <w:u w:val="none"/>
        </w:rPr>
      </w:pPr>
      <w:bookmarkStart w:id="347" w:name="_Toc46136871"/>
      <w:bookmarkStart w:id="348" w:name="_Toc480"/>
      <w:bookmarkStart w:id="349" w:name="_Toc46238288"/>
      <w:bookmarkStart w:id="350" w:name="_Toc518923122"/>
      <w:r>
        <w:rPr>
          <w:rFonts w:hint="eastAsia" w:hAnsi="宋体" w:cs="宋体"/>
          <w:color w:val="auto"/>
          <w:highlight w:val="none"/>
          <w:u w:val="none"/>
        </w:rPr>
        <w:t>1</w:t>
      </w:r>
      <w:r>
        <w:rPr>
          <w:rFonts w:hint="eastAsia" w:hAnsi="宋体" w:cs="宋体"/>
          <w:color w:val="auto"/>
          <w:highlight w:val="none"/>
          <w:u w:val="none"/>
          <w:lang w:val="en-US" w:eastAsia="zh-CN"/>
        </w:rPr>
        <w:t>2</w:t>
      </w:r>
      <w:r>
        <w:rPr>
          <w:rFonts w:hint="eastAsia" w:hAnsi="宋体" w:cs="宋体"/>
          <w:color w:val="auto"/>
          <w:highlight w:val="none"/>
          <w:u w:val="none"/>
        </w:rPr>
        <w:t>.技术评审文件</w:t>
      </w:r>
      <w:bookmarkEnd w:id="347"/>
      <w:bookmarkEnd w:id="348"/>
      <w:bookmarkEnd w:id="349"/>
    </w:p>
    <w:p w14:paraId="6AA47805">
      <w:pPr>
        <w:pStyle w:val="5"/>
        <w:spacing w:line="360" w:lineRule="auto"/>
        <w:rPr>
          <w:rFonts w:hAnsi="宋体" w:cs="宋体"/>
          <w:color w:val="auto"/>
          <w:highlight w:val="none"/>
          <w:u w:val="none"/>
        </w:rPr>
      </w:pPr>
      <w:bookmarkStart w:id="351" w:name="_Toc46136873"/>
      <w:bookmarkStart w:id="352" w:name="_Toc30336"/>
      <w:bookmarkStart w:id="353" w:name="_Toc46238290"/>
      <w:r>
        <w:rPr>
          <w:rFonts w:hint="eastAsia" w:hAnsi="宋体" w:cs="宋体"/>
          <w:color w:val="auto"/>
          <w:highlight w:val="none"/>
          <w:u w:val="none"/>
        </w:rPr>
        <w:t>1</w:t>
      </w:r>
      <w:r>
        <w:rPr>
          <w:rFonts w:hint="eastAsia" w:hAnsi="宋体" w:cs="宋体"/>
          <w:color w:val="auto"/>
          <w:highlight w:val="none"/>
          <w:u w:val="none"/>
          <w:lang w:val="en-US" w:eastAsia="zh-CN"/>
        </w:rPr>
        <w:t>3</w:t>
      </w:r>
      <w:r>
        <w:rPr>
          <w:rFonts w:hint="eastAsia" w:hAnsi="宋体" w:cs="宋体"/>
          <w:color w:val="auto"/>
          <w:highlight w:val="none"/>
          <w:u w:val="none"/>
        </w:rPr>
        <w:t>.其他用于评分的证明材料</w:t>
      </w:r>
      <w:bookmarkEnd w:id="351"/>
      <w:bookmarkEnd w:id="352"/>
      <w:bookmarkEnd w:id="353"/>
    </w:p>
    <w:p w14:paraId="1C71EBC2">
      <w:pPr>
        <w:spacing w:line="360" w:lineRule="auto"/>
        <w:jc w:val="left"/>
        <w:rPr>
          <w:rFonts w:ascii="宋体" w:hAnsi="宋体" w:cs="宋体"/>
          <w:color w:val="auto"/>
          <w:kern w:val="0"/>
          <w:sz w:val="24"/>
          <w:szCs w:val="22"/>
          <w:highlight w:val="none"/>
        </w:rPr>
      </w:pPr>
      <w:r>
        <w:rPr>
          <w:rFonts w:hint="eastAsia" w:ascii="宋体" w:hAnsi="宋体" w:cs="宋体"/>
          <w:color w:val="auto"/>
          <w:kern w:val="0"/>
          <w:sz w:val="24"/>
          <w:szCs w:val="22"/>
          <w:highlight w:val="none"/>
        </w:rPr>
        <w:t>评分中要求的相关文件。</w:t>
      </w:r>
    </w:p>
    <w:p w14:paraId="15508FC6">
      <w:pPr>
        <w:pStyle w:val="5"/>
        <w:spacing w:line="360" w:lineRule="auto"/>
        <w:rPr>
          <w:rFonts w:hAnsi="宋体" w:cs="宋体"/>
          <w:color w:val="auto"/>
          <w:highlight w:val="none"/>
          <w:u w:val="none"/>
        </w:rPr>
      </w:pPr>
      <w:bookmarkStart w:id="354" w:name="_Toc46238291"/>
      <w:bookmarkStart w:id="355" w:name="_Toc46136874"/>
      <w:bookmarkStart w:id="356" w:name="_Toc11417"/>
      <w:r>
        <w:rPr>
          <w:rFonts w:hint="eastAsia" w:hAnsi="宋体" w:cs="宋体"/>
          <w:color w:val="auto"/>
          <w:highlight w:val="none"/>
          <w:u w:val="none"/>
        </w:rPr>
        <w:t>1</w:t>
      </w:r>
      <w:r>
        <w:rPr>
          <w:rFonts w:hint="eastAsia" w:hAnsi="宋体" w:cs="宋体"/>
          <w:color w:val="auto"/>
          <w:highlight w:val="none"/>
          <w:u w:val="none"/>
          <w:lang w:val="en-US" w:eastAsia="zh-CN"/>
        </w:rPr>
        <w:t>4</w:t>
      </w:r>
      <w:r>
        <w:rPr>
          <w:rFonts w:hint="eastAsia" w:hAnsi="宋体" w:cs="宋体"/>
          <w:color w:val="auto"/>
          <w:highlight w:val="none"/>
          <w:u w:val="none"/>
        </w:rPr>
        <w:t>.案例一览表</w:t>
      </w:r>
      <w:bookmarkEnd w:id="354"/>
      <w:bookmarkEnd w:id="355"/>
      <w:bookmarkEnd w:id="356"/>
    </w:p>
    <w:p w14:paraId="3F6EEA3B">
      <w:pPr>
        <w:spacing w:line="360" w:lineRule="auto"/>
        <w:ind w:right="187"/>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案例一览表及合同复印件（样表）</w:t>
      </w:r>
    </w:p>
    <w:p w14:paraId="2204BCB4">
      <w:pPr>
        <w:spacing w:line="360" w:lineRule="auto"/>
        <w:ind w:right="187"/>
        <w:jc w:val="center"/>
        <w:rPr>
          <w:rFonts w:ascii="宋体" w:hAnsi="宋体" w:cs="宋体"/>
          <w:color w:val="auto"/>
          <w:sz w:val="24"/>
          <w:highlight w:val="none"/>
        </w:rPr>
      </w:pPr>
      <w:r>
        <w:rPr>
          <w:rFonts w:hint="eastAsia" w:ascii="宋体" w:hAnsi="宋体" w:cs="宋体"/>
          <w:color w:val="auto"/>
          <w:sz w:val="24"/>
          <w:highlight w:val="none"/>
        </w:rPr>
        <w:t>(1)同案例一览表</w:t>
      </w:r>
    </w:p>
    <w:p w14:paraId="759A084C">
      <w:pPr>
        <w:spacing w:line="360" w:lineRule="auto"/>
        <w:ind w:right="187"/>
        <w:rPr>
          <w:rFonts w:ascii="宋体" w:hAnsi="宋体" w:cs="宋体"/>
          <w:bCs/>
          <w:color w:val="auto"/>
          <w:sz w:val="24"/>
          <w:highlight w:val="none"/>
        </w:rPr>
      </w:pPr>
      <w:r>
        <w:rPr>
          <w:rFonts w:hint="eastAsia" w:ascii="宋体" w:hAnsi="宋体" w:cs="宋体"/>
          <w:bCs/>
          <w:color w:val="auto"/>
          <w:sz w:val="24"/>
          <w:highlight w:val="none"/>
        </w:rPr>
        <w:t>项目编号、包号报价单位：人民币元</w:t>
      </w:r>
    </w:p>
    <w:tbl>
      <w:tblPr>
        <w:tblStyle w:val="19"/>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369"/>
        <w:gridCol w:w="976"/>
        <w:gridCol w:w="1168"/>
        <w:gridCol w:w="1208"/>
        <w:gridCol w:w="1181"/>
        <w:gridCol w:w="1361"/>
        <w:gridCol w:w="1361"/>
      </w:tblGrid>
      <w:tr w14:paraId="05CC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613" w:type="dxa"/>
            <w:tcBorders>
              <w:top w:val="single" w:color="auto" w:sz="12" w:space="0"/>
              <w:left w:val="single" w:color="auto" w:sz="12" w:space="0"/>
              <w:bottom w:val="single" w:color="auto" w:sz="4" w:space="0"/>
              <w:right w:val="single" w:color="auto" w:sz="4" w:space="0"/>
            </w:tcBorders>
            <w:noWrap w:val="0"/>
            <w:vAlign w:val="center"/>
          </w:tcPr>
          <w:p w14:paraId="5443ADFA">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69" w:type="dxa"/>
            <w:tcBorders>
              <w:top w:val="single" w:color="auto" w:sz="12" w:space="0"/>
              <w:left w:val="single" w:color="auto" w:sz="4" w:space="0"/>
              <w:bottom w:val="single" w:color="auto" w:sz="4" w:space="0"/>
              <w:right w:val="single" w:color="auto" w:sz="4" w:space="0"/>
            </w:tcBorders>
            <w:noWrap w:val="0"/>
            <w:vAlign w:val="center"/>
          </w:tcPr>
          <w:p w14:paraId="630C995B">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项目内容</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65788338">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合同金额</w:t>
            </w:r>
          </w:p>
        </w:tc>
        <w:tc>
          <w:tcPr>
            <w:tcW w:w="1168" w:type="dxa"/>
            <w:tcBorders>
              <w:top w:val="single" w:color="auto" w:sz="12" w:space="0"/>
              <w:left w:val="single" w:color="auto" w:sz="4" w:space="0"/>
              <w:bottom w:val="single" w:color="auto" w:sz="4" w:space="0"/>
              <w:right w:val="single" w:color="auto" w:sz="4" w:space="0"/>
            </w:tcBorders>
            <w:noWrap w:val="0"/>
            <w:vAlign w:val="center"/>
          </w:tcPr>
          <w:p w14:paraId="26F41E35">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项目单位</w:t>
            </w:r>
          </w:p>
          <w:p w14:paraId="4D8E3617">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名称</w:t>
            </w:r>
          </w:p>
        </w:tc>
        <w:tc>
          <w:tcPr>
            <w:tcW w:w="1208" w:type="dxa"/>
            <w:tcBorders>
              <w:top w:val="single" w:color="auto" w:sz="12" w:space="0"/>
              <w:left w:val="single" w:color="auto" w:sz="4" w:space="0"/>
              <w:bottom w:val="single" w:color="auto" w:sz="4" w:space="0"/>
              <w:right w:val="single" w:color="auto" w:sz="4" w:space="0"/>
            </w:tcBorders>
            <w:noWrap w:val="0"/>
            <w:vAlign w:val="center"/>
          </w:tcPr>
          <w:p w14:paraId="48133D7A">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项目单位</w:t>
            </w:r>
          </w:p>
          <w:p w14:paraId="4210C2EE">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地址</w:t>
            </w:r>
          </w:p>
        </w:tc>
        <w:tc>
          <w:tcPr>
            <w:tcW w:w="1181" w:type="dxa"/>
            <w:tcBorders>
              <w:top w:val="single" w:color="auto" w:sz="12" w:space="0"/>
              <w:left w:val="single" w:color="auto" w:sz="4" w:space="0"/>
              <w:bottom w:val="single" w:color="auto" w:sz="4" w:space="0"/>
              <w:right w:val="single" w:color="auto" w:sz="4" w:space="0"/>
            </w:tcBorders>
            <w:noWrap w:val="0"/>
            <w:vAlign w:val="center"/>
          </w:tcPr>
          <w:p w14:paraId="2FA02B9F">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合同签订</w:t>
            </w:r>
          </w:p>
          <w:p w14:paraId="585F93C9">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日期</w:t>
            </w:r>
          </w:p>
        </w:tc>
        <w:tc>
          <w:tcPr>
            <w:tcW w:w="1361" w:type="dxa"/>
            <w:tcBorders>
              <w:top w:val="single" w:color="auto" w:sz="12" w:space="0"/>
              <w:left w:val="single" w:color="auto" w:sz="4" w:space="0"/>
              <w:bottom w:val="single" w:color="auto" w:sz="4" w:space="0"/>
              <w:right w:val="single" w:color="auto" w:sz="12" w:space="0"/>
            </w:tcBorders>
            <w:noWrap w:val="0"/>
            <w:vAlign w:val="center"/>
          </w:tcPr>
          <w:p w14:paraId="6A9595B4">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项目单位的有效联系方式</w:t>
            </w:r>
          </w:p>
        </w:tc>
        <w:tc>
          <w:tcPr>
            <w:tcW w:w="1361" w:type="dxa"/>
            <w:tcBorders>
              <w:top w:val="single" w:color="auto" w:sz="12" w:space="0"/>
              <w:left w:val="single" w:color="auto" w:sz="4" w:space="0"/>
              <w:bottom w:val="single" w:color="auto" w:sz="4" w:space="0"/>
              <w:right w:val="single" w:color="auto" w:sz="12" w:space="0"/>
            </w:tcBorders>
            <w:noWrap w:val="0"/>
            <w:vAlign w:val="center"/>
          </w:tcPr>
          <w:p w14:paraId="31BFB53C">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合同</w:t>
            </w:r>
            <w:r>
              <w:rPr>
                <w:rFonts w:hint="eastAsia" w:ascii="宋体" w:hAnsi="宋体" w:cs="宋体"/>
                <w:color w:val="auto"/>
                <w:kern w:val="0"/>
                <w:sz w:val="24"/>
                <w:highlight w:val="none"/>
                <w:lang w:val="en-US" w:eastAsia="zh-CN"/>
              </w:rPr>
              <w:t>扫描</w:t>
            </w:r>
            <w:r>
              <w:rPr>
                <w:rFonts w:hint="eastAsia" w:ascii="宋体" w:hAnsi="宋体" w:cs="宋体"/>
                <w:color w:val="auto"/>
                <w:kern w:val="0"/>
                <w:sz w:val="24"/>
                <w:highlight w:val="none"/>
              </w:rPr>
              <w:t>件</w:t>
            </w:r>
          </w:p>
        </w:tc>
      </w:tr>
      <w:tr w14:paraId="5F1B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13" w:type="dxa"/>
            <w:tcBorders>
              <w:top w:val="single" w:color="auto" w:sz="4" w:space="0"/>
              <w:left w:val="single" w:color="auto" w:sz="12" w:space="0"/>
              <w:bottom w:val="single" w:color="auto" w:sz="4" w:space="0"/>
              <w:right w:val="single" w:color="auto" w:sz="4" w:space="0"/>
            </w:tcBorders>
            <w:noWrap w:val="0"/>
            <w:vAlign w:val="center"/>
          </w:tcPr>
          <w:p w14:paraId="06332F65">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1</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4557D6B0">
            <w:pPr>
              <w:spacing w:line="360" w:lineRule="auto"/>
              <w:jc w:val="center"/>
              <w:rPr>
                <w:rFonts w:ascii="宋体" w:hAnsi="宋体" w:cs="宋体"/>
                <w:b/>
                <w:color w:val="auto"/>
                <w:kern w:val="0"/>
                <w:szCs w:val="21"/>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3FFA50C">
            <w:pPr>
              <w:spacing w:line="360" w:lineRule="auto"/>
              <w:jc w:val="center"/>
              <w:rPr>
                <w:rFonts w:ascii="宋体" w:hAnsi="宋体" w:cs="宋体"/>
                <w:b/>
                <w:color w:val="auto"/>
                <w:kern w:val="0"/>
                <w:szCs w:val="21"/>
                <w:highlight w:val="none"/>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E74536A">
            <w:pPr>
              <w:spacing w:line="360" w:lineRule="auto"/>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14:paraId="364EF0DB">
            <w:pPr>
              <w:spacing w:line="360" w:lineRule="auto"/>
              <w:jc w:val="center"/>
              <w:rPr>
                <w:rFonts w:ascii="宋体" w:hAnsi="宋体" w:cs="宋体"/>
                <w:b/>
                <w:color w:val="auto"/>
                <w:kern w:val="0"/>
                <w:szCs w:val="21"/>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top"/>
          </w:tcPr>
          <w:p w14:paraId="186B4857">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center"/>
          </w:tcPr>
          <w:p w14:paraId="6DAFA19D">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top"/>
          </w:tcPr>
          <w:p w14:paraId="3E072C53">
            <w:pPr>
              <w:spacing w:line="360" w:lineRule="auto"/>
              <w:jc w:val="center"/>
              <w:rPr>
                <w:rFonts w:hint="eastAsia" w:ascii="宋体" w:hAnsi="宋体" w:cs="宋体"/>
                <w:b/>
                <w:color w:val="auto"/>
                <w:kern w:val="0"/>
                <w:szCs w:val="21"/>
                <w:highlight w:val="none"/>
              </w:rPr>
            </w:pPr>
            <w:r>
              <w:rPr>
                <w:rFonts w:hint="eastAsia" w:ascii="宋体" w:hAnsi="宋体" w:cs="宋体"/>
                <w:color w:val="auto"/>
                <w:position w:val="-2"/>
                <w:highlight w:val="none"/>
              </w:rPr>
              <w:t>上</w:t>
            </w:r>
            <w:r>
              <w:rPr>
                <w:rFonts w:hint="eastAsia" w:ascii="宋体" w:hAnsi="宋体" w:cs="宋体"/>
                <w:color w:val="auto"/>
                <w:position w:val="-3"/>
                <w:highlight w:val="none"/>
              </w:rPr>
              <w:t>传</w:t>
            </w:r>
          </w:p>
        </w:tc>
      </w:tr>
      <w:tr w14:paraId="359B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13" w:type="dxa"/>
            <w:tcBorders>
              <w:top w:val="single" w:color="auto" w:sz="4" w:space="0"/>
              <w:left w:val="single" w:color="auto" w:sz="12" w:space="0"/>
              <w:bottom w:val="single" w:color="auto" w:sz="4" w:space="0"/>
              <w:right w:val="single" w:color="auto" w:sz="4" w:space="0"/>
            </w:tcBorders>
            <w:noWrap w:val="0"/>
            <w:vAlign w:val="center"/>
          </w:tcPr>
          <w:p w14:paraId="6D41A66B">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2</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726B2BE8">
            <w:pPr>
              <w:spacing w:line="360" w:lineRule="auto"/>
              <w:jc w:val="center"/>
              <w:rPr>
                <w:rFonts w:ascii="宋体" w:hAnsi="宋体" w:cs="宋体"/>
                <w:b/>
                <w:color w:val="auto"/>
                <w:kern w:val="0"/>
                <w:szCs w:val="21"/>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CDCAE72">
            <w:pPr>
              <w:spacing w:line="360" w:lineRule="auto"/>
              <w:jc w:val="center"/>
              <w:rPr>
                <w:rFonts w:ascii="宋体" w:hAnsi="宋体" w:cs="宋体"/>
                <w:b/>
                <w:color w:val="auto"/>
                <w:kern w:val="0"/>
                <w:szCs w:val="21"/>
                <w:highlight w:val="none"/>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1A21222">
            <w:pPr>
              <w:spacing w:line="360" w:lineRule="auto"/>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6A35AB2">
            <w:pPr>
              <w:spacing w:line="360" w:lineRule="auto"/>
              <w:jc w:val="center"/>
              <w:rPr>
                <w:rFonts w:ascii="宋体" w:hAnsi="宋体" w:cs="宋体"/>
                <w:b/>
                <w:color w:val="auto"/>
                <w:kern w:val="0"/>
                <w:szCs w:val="21"/>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top"/>
          </w:tcPr>
          <w:p w14:paraId="2D4BB7E2">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center"/>
          </w:tcPr>
          <w:p w14:paraId="49C67720">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top"/>
          </w:tcPr>
          <w:p w14:paraId="4DCCBE7C">
            <w:pPr>
              <w:spacing w:line="360" w:lineRule="auto"/>
              <w:jc w:val="center"/>
              <w:rPr>
                <w:rFonts w:hint="eastAsia" w:ascii="宋体" w:hAnsi="宋体" w:cs="宋体"/>
                <w:b/>
                <w:color w:val="auto"/>
                <w:kern w:val="0"/>
                <w:szCs w:val="21"/>
                <w:highlight w:val="none"/>
              </w:rPr>
            </w:pPr>
            <w:r>
              <w:rPr>
                <w:rFonts w:hint="eastAsia" w:ascii="宋体" w:hAnsi="宋体" w:cs="宋体"/>
                <w:color w:val="auto"/>
                <w:position w:val="-2"/>
                <w:highlight w:val="none"/>
              </w:rPr>
              <w:t>上</w:t>
            </w:r>
            <w:r>
              <w:rPr>
                <w:rFonts w:hint="eastAsia" w:ascii="宋体" w:hAnsi="宋体" w:cs="宋体"/>
                <w:color w:val="auto"/>
                <w:position w:val="-3"/>
                <w:highlight w:val="none"/>
              </w:rPr>
              <w:t>传</w:t>
            </w:r>
          </w:p>
        </w:tc>
      </w:tr>
      <w:tr w14:paraId="60B4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13" w:type="dxa"/>
            <w:tcBorders>
              <w:top w:val="single" w:color="auto" w:sz="4" w:space="0"/>
              <w:left w:val="single" w:color="auto" w:sz="12" w:space="0"/>
              <w:bottom w:val="single" w:color="auto" w:sz="4" w:space="0"/>
              <w:right w:val="single" w:color="auto" w:sz="4" w:space="0"/>
            </w:tcBorders>
            <w:noWrap w:val="0"/>
            <w:vAlign w:val="center"/>
          </w:tcPr>
          <w:p w14:paraId="2BF21B2B">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3</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58AA7493">
            <w:pPr>
              <w:spacing w:line="360" w:lineRule="auto"/>
              <w:jc w:val="center"/>
              <w:rPr>
                <w:rFonts w:ascii="宋体" w:hAnsi="宋体" w:cs="宋体"/>
                <w:b/>
                <w:color w:val="auto"/>
                <w:kern w:val="0"/>
                <w:szCs w:val="21"/>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2A3372E">
            <w:pPr>
              <w:spacing w:line="360" w:lineRule="auto"/>
              <w:jc w:val="center"/>
              <w:rPr>
                <w:rFonts w:ascii="宋体" w:hAnsi="宋体" w:cs="宋体"/>
                <w:b/>
                <w:color w:val="auto"/>
                <w:kern w:val="0"/>
                <w:szCs w:val="21"/>
                <w:highlight w:val="none"/>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1F0E559">
            <w:pPr>
              <w:spacing w:line="360" w:lineRule="auto"/>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E1DF232">
            <w:pPr>
              <w:spacing w:line="360" w:lineRule="auto"/>
              <w:jc w:val="center"/>
              <w:rPr>
                <w:rFonts w:ascii="宋体" w:hAnsi="宋体" w:cs="宋体"/>
                <w:b/>
                <w:color w:val="auto"/>
                <w:kern w:val="0"/>
                <w:szCs w:val="21"/>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top"/>
          </w:tcPr>
          <w:p w14:paraId="1B6A01BE">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center"/>
          </w:tcPr>
          <w:p w14:paraId="41520475">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4" w:space="0"/>
              <w:right w:val="single" w:color="auto" w:sz="12" w:space="0"/>
            </w:tcBorders>
            <w:noWrap w:val="0"/>
            <w:vAlign w:val="top"/>
          </w:tcPr>
          <w:p w14:paraId="48E5C2D3">
            <w:pPr>
              <w:spacing w:line="360" w:lineRule="auto"/>
              <w:jc w:val="center"/>
              <w:rPr>
                <w:rFonts w:ascii="宋体" w:hAnsi="宋体" w:cs="宋体"/>
                <w:b/>
                <w:color w:val="auto"/>
                <w:kern w:val="0"/>
                <w:szCs w:val="21"/>
                <w:highlight w:val="none"/>
              </w:rPr>
            </w:pPr>
            <w:r>
              <w:rPr>
                <w:rFonts w:hint="eastAsia" w:ascii="宋体" w:hAnsi="宋体" w:cs="宋体"/>
                <w:color w:val="auto"/>
                <w:position w:val="-2"/>
                <w:highlight w:val="none"/>
              </w:rPr>
              <w:t>上</w:t>
            </w:r>
            <w:r>
              <w:rPr>
                <w:rFonts w:hint="eastAsia" w:ascii="宋体" w:hAnsi="宋体" w:cs="宋体"/>
                <w:color w:val="auto"/>
                <w:position w:val="-3"/>
                <w:highlight w:val="none"/>
              </w:rPr>
              <w:t>传</w:t>
            </w:r>
          </w:p>
        </w:tc>
      </w:tr>
      <w:tr w14:paraId="55584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613" w:type="dxa"/>
            <w:tcBorders>
              <w:top w:val="single" w:color="auto" w:sz="4" w:space="0"/>
              <w:left w:val="single" w:color="auto" w:sz="12" w:space="0"/>
              <w:bottom w:val="single" w:color="auto" w:sz="12" w:space="0"/>
              <w:right w:val="single" w:color="auto" w:sz="4" w:space="0"/>
            </w:tcBorders>
            <w:noWrap w:val="0"/>
            <w:vAlign w:val="center"/>
          </w:tcPr>
          <w:p w14:paraId="009469AF">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4</w:t>
            </w:r>
          </w:p>
        </w:tc>
        <w:tc>
          <w:tcPr>
            <w:tcW w:w="1369" w:type="dxa"/>
            <w:tcBorders>
              <w:top w:val="single" w:color="auto" w:sz="4" w:space="0"/>
              <w:left w:val="single" w:color="auto" w:sz="4" w:space="0"/>
              <w:bottom w:val="single" w:color="auto" w:sz="12" w:space="0"/>
              <w:right w:val="single" w:color="auto" w:sz="4" w:space="0"/>
            </w:tcBorders>
            <w:noWrap w:val="0"/>
            <w:vAlign w:val="center"/>
          </w:tcPr>
          <w:p w14:paraId="100AD218">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w:t>
            </w:r>
          </w:p>
        </w:tc>
        <w:tc>
          <w:tcPr>
            <w:tcW w:w="976" w:type="dxa"/>
            <w:tcBorders>
              <w:top w:val="single" w:color="auto" w:sz="4" w:space="0"/>
              <w:left w:val="single" w:color="auto" w:sz="4" w:space="0"/>
              <w:bottom w:val="single" w:color="auto" w:sz="12" w:space="0"/>
              <w:right w:val="single" w:color="auto" w:sz="4" w:space="0"/>
            </w:tcBorders>
            <w:noWrap w:val="0"/>
            <w:vAlign w:val="center"/>
          </w:tcPr>
          <w:p w14:paraId="77B416E8">
            <w:pPr>
              <w:spacing w:line="360" w:lineRule="auto"/>
              <w:jc w:val="center"/>
              <w:rPr>
                <w:rFonts w:ascii="宋体" w:hAnsi="宋体" w:cs="宋体"/>
                <w:b/>
                <w:color w:val="auto"/>
                <w:kern w:val="0"/>
                <w:szCs w:val="21"/>
                <w:highlight w:val="none"/>
              </w:rPr>
            </w:pPr>
          </w:p>
        </w:tc>
        <w:tc>
          <w:tcPr>
            <w:tcW w:w="1168" w:type="dxa"/>
            <w:tcBorders>
              <w:top w:val="single" w:color="auto" w:sz="4" w:space="0"/>
              <w:left w:val="single" w:color="auto" w:sz="4" w:space="0"/>
              <w:bottom w:val="single" w:color="auto" w:sz="12" w:space="0"/>
              <w:right w:val="single" w:color="auto" w:sz="4" w:space="0"/>
            </w:tcBorders>
            <w:noWrap w:val="0"/>
            <w:vAlign w:val="center"/>
          </w:tcPr>
          <w:p w14:paraId="47CD07F5">
            <w:pPr>
              <w:spacing w:line="360" w:lineRule="auto"/>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12" w:space="0"/>
              <w:right w:val="single" w:color="auto" w:sz="4" w:space="0"/>
            </w:tcBorders>
            <w:noWrap w:val="0"/>
            <w:vAlign w:val="center"/>
          </w:tcPr>
          <w:p w14:paraId="071627F4">
            <w:pPr>
              <w:spacing w:line="360" w:lineRule="auto"/>
              <w:jc w:val="center"/>
              <w:rPr>
                <w:rFonts w:ascii="宋体" w:hAnsi="宋体" w:cs="宋体"/>
                <w:b/>
                <w:color w:val="auto"/>
                <w:kern w:val="0"/>
                <w:szCs w:val="21"/>
                <w:highlight w:val="none"/>
              </w:rPr>
            </w:pPr>
          </w:p>
        </w:tc>
        <w:tc>
          <w:tcPr>
            <w:tcW w:w="1181" w:type="dxa"/>
            <w:tcBorders>
              <w:top w:val="single" w:color="auto" w:sz="4" w:space="0"/>
              <w:left w:val="single" w:color="auto" w:sz="4" w:space="0"/>
              <w:bottom w:val="single" w:color="auto" w:sz="12" w:space="0"/>
              <w:right w:val="single" w:color="auto" w:sz="4" w:space="0"/>
            </w:tcBorders>
            <w:noWrap w:val="0"/>
            <w:vAlign w:val="top"/>
          </w:tcPr>
          <w:p w14:paraId="62B00284">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12" w:space="0"/>
              <w:right w:val="single" w:color="auto" w:sz="12" w:space="0"/>
            </w:tcBorders>
            <w:noWrap w:val="0"/>
            <w:vAlign w:val="center"/>
          </w:tcPr>
          <w:p w14:paraId="3E09B14D">
            <w:pPr>
              <w:spacing w:line="360" w:lineRule="auto"/>
              <w:jc w:val="center"/>
              <w:rPr>
                <w:rFonts w:ascii="宋体" w:hAnsi="宋体" w:cs="宋体"/>
                <w:b/>
                <w:color w:val="auto"/>
                <w:kern w:val="0"/>
                <w:szCs w:val="21"/>
                <w:highlight w:val="none"/>
              </w:rPr>
            </w:pPr>
          </w:p>
        </w:tc>
        <w:tc>
          <w:tcPr>
            <w:tcW w:w="1361" w:type="dxa"/>
            <w:tcBorders>
              <w:top w:val="single" w:color="auto" w:sz="4" w:space="0"/>
              <w:left w:val="single" w:color="auto" w:sz="4" w:space="0"/>
              <w:bottom w:val="single" w:color="auto" w:sz="12" w:space="0"/>
              <w:right w:val="single" w:color="auto" w:sz="12" w:space="0"/>
            </w:tcBorders>
            <w:noWrap w:val="0"/>
            <w:vAlign w:val="top"/>
          </w:tcPr>
          <w:p w14:paraId="1FD047DC">
            <w:pPr>
              <w:spacing w:line="360" w:lineRule="auto"/>
              <w:jc w:val="center"/>
              <w:rPr>
                <w:rFonts w:ascii="宋体" w:hAnsi="宋体" w:cs="宋体"/>
                <w:b/>
                <w:color w:val="auto"/>
                <w:kern w:val="0"/>
                <w:szCs w:val="21"/>
                <w:highlight w:val="none"/>
              </w:rPr>
            </w:pPr>
            <w:r>
              <w:rPr>
                <w:rFonts w:hint="eastAsia" w:ascii="宋体" w:hAnsi="宋体" w:cs="宋体"/>
                <w:color w:val="auto"/>
                <w:position w:val="-2"/>
                <w:highlight w:val="none"/>
              </w:rPr>
              <w:t>上</w:t>
            </w:r>
            <w:r>
              <w:rPr>
                <w:rFonts w:hint="eastAsia" w:ascii="宋体" w:hAnsi="宋体" w:cs="宋体"/>
                <w:color w:val="auto"/>
                <w:position w:val="-3"/>
                <w:highlight w:val="none"/>
              </w:rPr>
              <w:t>传</w:t>
            </w:r>
          </w:p>
        </w:tc>
      </w:tr>
    </w:tbl>
    <w:p w14:paraId="3DF7A737">
      <w:pPr>
        <w:spacing w:line="360" w:lineRule="auto"/>
        <w:ind w:right="187"/>
        <w:jc w:val="left"/>
        <w:rPr>
          <w:rFonts w:ascii="宋体" w:hAnsi="宋体" w:cs="宋体"/>
          <w:color w:val="auto"/>
          <w:sz w:val="24"/>
          <w:highlight w:val="none"/>
        </w:rPr>
      </w:pPr>
      <w:r>
        <w:rPr>
          <w:rFonts w:hint="eastAsia" w:ascii="宋体" w:hAnsi="宋体" w:cs="宋体"/>
          <w:color w:val="auto"/>
          <w:sz w:val="24"/>
          <w:highlight w:val="none"/>
        </w:rPr>
        <w:t>说明：以上合同案例须真实有效。</w:t>
      </w:r>
    </w:p>
    <w:p w14:paraId="3822DDDD">
      <w:pPr>
        <w:keepNext w:val="0"/>
        <w:keepLines w:val="0"/>
        <w:widowControl/>
        <w:suppressLineNumbers w:val="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kern w:val="0"/>
          <w:sz w:val="24"/>
          <w:highlight w:val="none"/>
        </w:rPr>
        <w:t>提供</w:t>
      </w:r>
      <w:r>
        <w:rPr>
          <w:rFonts w:hint="eastAsia" w:ascii="宋体" w:hAnsi="宋体" w:cs="宋体"/>
          <w:color w:val="auto"/>
          <w:sz w:val="24"/>
          <w:highlight w:val="none"/>
        </w:rPr>
        <w:t>提交</w:t>
      </w:r>
      <w:r>
        <w:rPr>
          <w:rFonts w:hint="eastAsia" w:ascii="宋体" w:hAnsi="宋体" w:eastAsia="宋体" w:cs="宋体"/>
          <w:color w:val="auto"/>
          <w:kern w:val="0"/>
          <w:sz w:val="24"/>
          <w:szCs w:val="24"/>
          <w:lang w:val="en-US" w:eastAsia="zh-CN" w:bidi="ar"/>
        </w:rPr>
        <w:t>20</w:t>
      </w:r>
      <w:r>
        <w:rPr>
          <w:rFonts w:hint="eastAsia" w:ascii="宋体" w:hAnsi="宋体" w:cs="宋体"/>
          <w:color w:val="auto"/>
          <w:kern w:val="0"/>
          <w:sz w:val="24"/>
          <w:szCs w:val="24"/>
          <w:lang w:val="en-US" w:eastAsia="zh-CN" w:bidi="ar"/>
        </w:rPr>
        <w:t>21</w:t>
      </w:r>
      <w:r>
        <w:rPr>
          <w:rFonts w:hint="eastAsia" w:ascii="宋体" w:hAnsi="宋体" w:eastAsia="宋体" w:cs="宋体"/>
          <w:color w:val="auto"/>
          <w:kern w:val="0"/>
          <w:sz w:val="24"/>
          <w:szCs w:val="24"/>
          <w:lang w:val="en-US" w:eastAsia="zh-CN" w:bidi="ar"/>
        </w:rPr>
        <w:t>年1月1日至报价截止之日内</w:t>
      </w:r>
      <w:r>
        <w:rPr>
          <w:rFonts w:hint="eastAsia" w:ascii="宋体" w:hAnsi="宋体" w:cs="宋体"/>
          <w:color w:val="auto"/>
          <w:kern w:val="0"/>
          <w:sz w:val="24"/>
          <w:highlight w:val="none"/>
        </w:rPr>
        <w:t>的合同</w:t>
      </w:r>
      <w:r>
        <w:rPr>
          <w:rFonts w:hint="eastAsia" w:ascii="宋体" w:hAnsi="宋体" w:cs="宋体"/>
          <w:color w:val="auto"/>
          <w:kern w:val="0"/>
          <w:sz w:val="24"/>
          <w:highlight w:val="none"/>
          <w:lang w:val="en-US" w:eastAsia="zh-CN"/>
        </w:rPr>
        <w:t>扫描件</w:t>
      </w:r>
      <w:r>
        <w:rPr>
          <w:rFonts w:hint="eastAsia" w:ascii="宋体" w:hAnsi="宋体" w:cs="宋体"/>
          <w:color w:val="auto"/>
          <w:kern w:val="0"/>
          <w:sz w:val="24"/>
          <w:highlight w:val="none"/>
        </w:rPr>
        <w:t>（</w:t>
      </w:r>
      <w:r>
        <w:rPr>
          <w:rFonts w:hint="eastAsia" w:ascii="宋体" w:hAnsi="宋体" w:cs="宋体"/>
          <w:color w:val="auto"/>
          <w:sz w:val="24"/>
          <w:highlight w:val="none"/>
        </w:rPr>
        <w:t>至少包括合同首页、标的及标的金额页、签字盖章页及相应标的明细等内容</w:t>
      </w:r>
      <w:r>
        <w:rPr>
          <w:rFonts w:hint="eastAsia" w:ascii="宋体" w:hAnsi="宋体" w:cs="宋体"/>
          <w:color w:val="auto"/>
          <w:kern w:val="0"/>
          <w:sz w:val="24"/>
          <w:highlight w:val="none"/>
        </w:rPr>
        <w:t>）</w:t>
      </w:r>
    </w:p>
    <w:p w14:paraId="5295D7D2">
      <w:pPr>
        <w:spacing w:line="360" w:lineRule="auto"/>
        <w:rPr>
          <w:rFonts w:ascii="宋体" w:hAnsi="宋体" w:cs="宋体"/>
          <w:color w:val="auto"/>
          <w:highlight w:val="none"/>
        </w:rPr>
      </w:pPr>
    </w:p>
    <w:p w14:paraId="7315055D">
      <w:pPr>
        <w:pStyle w:val="5"/>
        <w:spacing w:line="360" w:lineRule="auto"/>
        <w:rPr>
          <w:rFonts w:hAnsi="宋体" w:cs="宋体"/>
          <w:color w:val="auto"/>
          <w:highlight w:val="none"/>
          <w:u w:val="none"/>
        </w:rPr>
      </w:pPr>
      <w:bookmarkStart w:id="357" w:name="_Toc46238292"/>
      <w:bookmarkStart w:id="358" w:name="_Toc25296"/>
      <w:bookmarkStart w:id="359" w:name="_Toc46136875"/>
      <w:r>
        <w:rPr>
          <w:rFonts w:hint="eastAsia" w:hAnsi="宋体" w:cs="宋体"/>
          <w:color w:val="auto"/>
          <w:highlight w:val="none"/>
          <w:u w:val="none"/>
        </w:rPr>
        <w:t>1</w:t>
      </w:r>
      <w:r>
        <w:rPr>
          <w:rFonts w:hint="eastAsia" w:hAnsi="宋体" w:cs="宋体"/>
          <w:color w:val="auto"/>
          <w:highlight w:val="none"/>
          <w:u w:val="none"/>
          <w:lang w:val="en-US" w:eastAsia="zh-CN"/>
        </w:rPr>
        <w:t>5</w:t>
      </w:r>
      <w:r>
        <w:rPr>
          <w:rFonts w:hint="eastAsia" w:hAnsi="宋体" w:cs="宋体"/>
          <w:color w:val="auto"/>
          <w:highlight w:val="none"/>
          <w:u w:val="none"/>
        </w:rPr>
        <w:t>.供应商关联单位的说明</w:t>
      </w:r>
      <w:bookmarkEnd w:id="350"/>
      <w:bookmarkEnd w:id="357"/>
      <w:bookmarkEnd w:id="358"/>
      <w:bookmarkEnd w:id="359"/>
    </w:p>
    <w:p w14:paraId="0DDC9DEF">
      <w:pPr>
        <w:autoSpaceDE w:val="0"/>
        <w:autoSpaceDN w:val="0"/>
        <w:adjustRightInd w:val="0"/>
        <w:spacing w:line="360" w:lineRule="auto"/>
        <w:ind w:firstLine="480" w:firstLineChars="200"/>
        <w:jc w:val="left"/>
        <w:rPr>
          <w:rFonts w:ascii="宋体" w:hAnsi="宋体" w:cs="宋体"/>
          <w:color w:val="auto"/>
          <w:kern w:val="0"/>
          <w:sz w:val="24"/>
          <w:szCs w:val="20"/>
          <w:highlight w:val="none"/>
        </w:rPr>
      </w:pPr>
    </w:p>
    <w:p w14:paraId="47192CFD">
      <w:pPr>
        <w:autoSpaceDE w:val="0"/>
        <w:autoSpaceDN w:val="0"/>
        <w:adjustRightInd w:val="0"/>
        <w:spacing w:line="360" w:lineRule="auto"/>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说明：供应商应当如实披露与本单位存在下列关联关系的单位名称：</w:t>
      </w:r>
    </w:p>
    <w:p w14:paraId="2739F8F2">
      <w:pPr>
        <w:autoSpaceDE w:val="0"/>
        <w:autoSpaceDN w:val="0"/>
        <w:adjustRightInd w:val="0"/>
        <w:spacing w:line="360" w:lineRule="auto"/>
        <w:ind w:left="479" w:leftChars="228"/>
        <w:jc w:val="left"/>
        <w:rPr>
          <w:rFonts w:hint="eastAsia" w:ascii="宋体" w:hAnsi="宋体" w:eastAsia="宋体" w:cs="宋体"/>
          <w:color w:val="auto"/>
          <w:kern w:val="0"/>
          <w:sz w:val="24"/>
          <w:szCs w:val="20"/>
          <w:highlight w:val="none"/>
          <w:lang w:eastAsia="zh-CN"/>
        </w:rPr>
      </w:pPr>
      <w:r>
        <w:rPr>
          <w:rFonts w:hint="eastAsia" w:ascii="宋体" w:hAnsi="宋体" w:cs="宋体"/>
          <w:color w:val="auto"/>
          <w:kern w:val="0"/>
          <w:sz w:val="24"/>
          <w:szCs w:val="20"/>
          <w:highlight w:val="none"/>
        </w:rPr>
        <w:t>（1）与供应商单位负责人为同一人的其他单位；</w:t>
      </w:r>
    </w:p>
    <w:p w14:paraId="374A021B">
      <w:pPr>
        <w:autoSpaceDE w:val="0"/>
        <w:autoSpaceDN w:val="0"/>
        <w:adjustRightInd w:val="0"/>
        <w:spacing w:line="360" w:lineRule="auto"/>
        <w:ind w:left="479" w:leftChars="228"/>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（2）与供应商存在直接控股、管理关系的其他单位。</w:t>
      </w:r>
    </w:p>
    <w:p w14:paraId="64C2EAC4">
      <w:pPr>
        <w:autoSpaceDE w:val="0"/>
        <w:autoSpaceDN w:val="0"/>
        <w:adjustRightInd w:val="0"/>
        <w:spacing w:line="360" w:lineRule="auto"/>
        <w:jc w:val="left"/>
        <w:rPr>
          <w:rFonts w:ascii="宋体" w:hAnsi="宋体" w:cs="宋体"/>
          <w:color w:val="auto"/>
          <w:kern w:val="0"/>
          <w:sz w:val="24"/>
          <w:szCs w:val="20"/>
          <w:highlight w:val="none"/>
        </w:rPr>
      </w:pPr>
    </w:p>
    <w:p w14:paraId="2E551514">
      <w:pPr>
        <w:spacing w:line="360" w:lineRule="auto"/>
        <w:ind w:left="1080" w:leftChars="257" w:hanging="540"/>
        <w:jc w:val="center"/>
        <w:rPr>
          <w:rFonts w:ascii="宋体" w:hAnsi="宋体" w:cs="宋体"/>
          <w:b/>
          <w:color w:val="auto"/>
          <w:kern w:val="0"/>
          <w:sz w:val="24"/>
          <w:szCs w:val="20"/>
          <w:highlight w:val="none"/>
        </w:rPr>
      </w:pPr>
    </w:p>
    <w:p w14:paraId="239421A8">
      <w:pPr>
        <w:spacing w:line="360" w:lineRule="auto"/>
        <w:rPr>
          <w:rFonts w:hint="eastAsia" w:ascii="宋体" w:hAnsi="宋体" w:cs="宋体"/>
          <w:b/>
          <w:color w:val="auto"/>
          <w:sz w:val="24"/>
          <w:highlight w:val="none"/>
        </w:rPr>
      </w:pPr>
      <w:bookmarkStart w:id="360" w:name="_Toc45562528"/>
      <w:bookmarkStart w:id="361" w:name="_Toc46136876"/>
      <w:bookmarkStart w:id="362" w:name="_Toc46238293"/>
      <w:bookmarkStart w:id="363" w:name="_Toc14679"/>
      <w:r>
        <w:rPr>
          <w:rFonts w:hint="eastAsia" w:ascii="宋体" w:hAnsi="宋体" w:cs="宋体"/>
          <w:b/>
          <w:color w:val="auto"/>
          <w:sz w:val="24"/>
          <w:highlight w:val="none"/>
          <w:lang w:val="en-US" w:eastAsia="zh-CN"/>
        </w:rPr>
        <w:t>16</w:t>
      </w:r>
      <w:r>
        <w:rPr>
          <w:rFonts w:hint="eastAsia" w:ascii="宋体" w:hAnsi="宋体" w:cs="宋体"/>
          <w:b/>
          <w:color w:val="auto"/>
          <w:sz w:val="24"/>
          <w:highlight w:val="none"/>
        </w:rPr>
        <w:t>.在经营活动中没有重大违法记录的书面声明函</w:t>
      </w:r>
    </w:p>
    <w:p w14:paraId="5E4A7385">
      <w:pPr>
        <w:pStyle w:val="23"/>
        <w:ind w:firstLine="0" w:firstLineChars="0"/>
        <w:rPr>
          <w:rFonts w:hint="eastAsia"/>
          <w:color w:val="auto"/>
          <w:highlight w:val="none"/>
        </w:rPr>
      </w:pPr>
    </w:p>
    <w:p w14:paraId="5E8971BA">
      <w:pPr>
        <w:rPr>
          <w:rFonts w:hint="eastAsia"/>
          <w:color w:val="auto"/>
          <w:highlight w:val="none"/>
        </w:rPr>
      </w:pPr>
    </w:p>
    <w:p w14:paraId="73A0E8EE">
      <w:pPr>
        <w:spacing w:line="360" w:lineRule="auto"/>
        <w:jc w:val="center"/>
        <w:rPr>
          <w:rFonts w:hint="eastAsia" w:ascii="宋体" w:hAnsi="宋体" w:cs="宋体"/>
          <w:b/>
          <w:bCs/>
          <w:color w:val="auto"/>
          <w:sz w:val="28"/>
          <w:szCs w:val="28"/>
          <w:highlight w:val="none"/>
        </w:rPr>
      </w:pPr>
      <w:r>
        <w:rPr>
          <w:rFonts w:hint="eastAsia" w:ascii="宋体" w:hAnsi="宋体" w:cs="宋体"/>
          <w:b/>
          <w:color w:val="auto"/>
          <w:sz w:val="28"/>
          <w:szCs w:val="28"/>
          <w:highlight w:val="none"/>
        </w:rPr>
        <w:t>在经营活动中没有重大违法记录的书面声明函</w:t>
      </w:r>
    </w:p>
    <w:p w14:paraId="25EA8BA4">
      <w:pPr>
        <w:widowControl/>
        <w:spacing w:line="360" w:lineRule="auto"/>
        <w:jc w:val="center"/>
        <w:rPr>
          <w:rFonts w:hint="eastAsia" w:ascii="宋体" w:hAnsi="宋体" w:cs="宋体"/>
          <w:b/>
          <w:color w:val="auto"/>
          <w:sz w:val="28"/>
          <w:szCs w:val="28"/>
          <w:highlight w:val="none"/>
        </w:rPr>
      </w:pPr>
    </w:p>
    <w:p w14:paraId="48DDFE4A">
      <w:pPr>
        <w:widowControl/>
        <w:spacing w:line="360" w:lineRule="auto"/>
        <w:jc w:val="center"/>
        <w:rPr>
          <w:rFonts w:hint="eastAsia" w:ascii="宋体" w:hAnsi="宋体" w:cs="宋体"/>
          <w:b/>
          <w:bCs/>
          <w:color w:val="auto"/>
          <w:sz w:val="28"/>
          <w:szCs w:val="28"/>
          <w:highlight w:val="none"/>
        </w:rPr>
      </w:pPr>
    </w:p>
    <w:p w14:paraId="254624E6">
      <w:pPr>
        <w:widowControl/>
        <w:spacing w:line="360" w:lineRule="auto"/>
        <w:rPr>
          <w:rFonts w:hint="eastAsia" w:ascii="宋体" w:hAnsi="宋体" w:cs="宋体"/>
          <w:color w:val="auto"/>
          <w:sz w:val="24"/>
          <w:highlight w:val="none"/>
        </w:rPr>
      </w:pPr>
      <w:r>
        <w:rPr>
          <w:rFonts w:hint="eastAsia" w:ascii="宋体" w:hAnsi="宋体" w:cs="宋体"/>
          <w:color w:val="auto"/>
          <w:sz w:val="24"/>
          <w:highlight w:val="none"/>
        </w:rPr>
        <w:t>我方在参加项目的政府采购活动前3年内，在经营活动中（有/无）重大违法记录。</w:t>
      </w:r>
    </w:p>
    <w:p w14:paraId="34FCBC60">
      <w:pPr>
        <w:widowControl/>
        <w:spacing w:line="360" w:lineRule="auto"/>
        <w:rPr>
          <w:rFonts w:hint="eastAsia" w:ascii="宋体" w:hAnsi="宋体" w:cs="宋体"/>
          <w:color w:val="auto"/>
          <w:sz w:val="24"/>
          <w:highlight w:val="none"/>
        </w:rPr>
      </w:pPr>
    </w:p>
    <w:p w14:paraId="113F3897">
      <w:pPr>
        <w:widowControl/>
        <w:spacing w:line="360" w:lineRule="auto"/>
        <w:rPr>
          <w:rFonts w:hint="eastAsia" w:ascii="宋体" w:hAnsi="宋体" w:cs="宋体"/>
          <w:color w:val="auto"/>
          <w:sz w:val="24"/>
          <w:highlight w:val="none"/>
        </w:rPr>
      </w:pPr>
    </w:p>
    <w:p w14:paraId="7C1B9EE1">
      <w:pPr>
        <w:widowControl/>
        <w:spacing w:line="360" w:lineRule="auto"/>
        <w:rPr>
          <w:rFonts w:hint="eastAsia" w:ascii="宋体" w:hAnsi="宋体" w:cs="宋体"/>
          <w:color w:val="auto"/>
          <w:sz w:val="24"/>
          <w:highlight w:val="none"/>
        </w:rPr>
      </w:pPr>
    </w:p>
    <w:p w14:paraId="422240D1">
      <w:pPr>
        <w:widowControl/>
        <w:spacing w:line="360" w:lineRule="auto"/>
        <w:rPr>
          <w:rFonts w:hint="eastAsia" w:ascii="宋体" w:hAnsi="宋体" w:cs="宋体"/>
          <w:color w:val="auto"/>
          <w:sz w:val="24"/>
          <w:highlight w:val="none"/>
        </w:rPr>
      </w:pPr>
    </w:p>
    <w:p w14:paraId="57A34ACF">
      <w:pPr>
        <w:widowControl/>
        <w:spacing w:line="360" w:lineRule="auto"/>
        <w:rPr>
          <w:rFonts w:hint="eastAsia" w:ascii="宋体" w:hAnsi="宋体" w:cs="宋体"/>
          <w:color w:val="auto"/>
          <w:sz w:val="24"/>
          <w:highlight w:val="none"/>
        </w:rPr>
      </w:pPr>
    </w:p>
    <w:p w14:paraId="5B675669">
      <w:pPr>
        <w:widowControl/>
        <w:spacing w:line="360" w:lineRule="auto"/>
        <w:rPr>
          <w:rFonts w:hint="eastAsia" w:ascii="宋体" w:hAnsi="宋体" w:cs="宋体"/>
          <w:color w:val="auto"/>
          <w:sz w:val="24"/>
          <w:highlight w:val="none"/>
        </w:rPr>
      </w:pPr>
      <w:r>
        <w:rPr>
          <w:rFonts w:hint="eastAsia" w:ascii="宋体" w:hAnsi="宋体" w:cs="宋体"/>
          <w:color w:val="auto"/>
          <w:sz w:val="24"/>
          <w:highlight w:val="none"/>
        </w:rPr>
        <w:t>供应商：（公章）</w:t>
      </w:r>
    </w:p>
    <w:p w14:paraId="5E505A1B">
      <w:pPr>
        <w:widowControl/>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法定代表人签字或盖章：</w:t>
      </w:r>
    </w:p>
    <w:p w14:paraId="516DA8B7">
      <w:pPr>
        <w:widowControl/>
        <w:spacing w:line="360" w:lineRule="auto"/>
        <w:rPr>
          <w:rFonts w:hint="eastAsia" w:ascii="宋体" w:hAnsi="宋体" w:eastAsia="宋体" w:cs="宋体"/>
          <w:color w:val="auto"/>
          <w:sz w:val="24"/>
          <w:highlight w:val="none"/>
          <w:lang w:eastAsia="zh-CN"/>
        </w:rPr>
      </w:pPr>
    </w:p>
    <w:p w14:paraId="29AC5ACD">
      <w:pPr>
        <w:widowControl/>
        <w:spacing w:line="360" w:lineRule="auto"/>
        <w:ind w:firstLine="5880" w:firstLineChars="2450"/>
        <w:rPr>
          <w:rFonts w:hint="eastAsia" w:ascii="宋体" w:hAnsi="宋体" w:cs="宋体"/>
          <w:color w:val="auto"/>
          <w:sz w:val="24"/>
          <w:highlight w:val="none"/>
        </w:rPr>
      </w:pPr>
      <w:r>
        <w:rPr>
          <w:rFonts w:hint="eastAsia" w:ascii="宋体" w:hAnsi="宋体" w:cs="宋体"/>
          <w:color w:val="auto"/>
          <w:sz w:val="24"/>
          <w:highlight w:val="none"/>
        </w:rPr>
        <w:t>年月日</w:t>
      </w:r>
    </w:p>
    <w:p w14:paraId="580998B4">
      <w:pPr>
        <w:widowControl/>
        <w:spacing w:line="360" w:lineRule="auto"/>
        <w:rPr>
          <w:rFonts w:hint="eastAsia" w:ascii="宋体" w:hAnsi="宋体" w:cs="宋体"/>
          <w:color w:val="auto"/>
          <w:sz w:val="24"/>
          <w:highlight w:val="none"/>
        </w:rPr>
      </w:pPr>
    </w:p>
    <w:p w14:paraId="66FA52B6">
      <w:pPr>
        <w:widowControl/>
        <w:spacing w:line="360" w:lineRule="auto"/>
        <w:rPr>
          <w:rFonts w:hint="eastAsia" w:ascii="宋体" w:hAnsi="宋体" w:cs="宋体"/>
          <w:color w:val="auto"/>
          <w:sz w:val="24"/>
          <w:highlight w:val="none"/>
        </w:rPr>
      </w:pPr>
    </w:p>
    <w:p w14:paraId="14734E0F">
      <w:pPr>
        <w:widowControl/>
        <w:spacing w:line="360" w:lineRule="auto"/>
        <w:rPr>
          <w:rFonts w:hint="eastAsia" w:ascii="宋体" w:hAnsi="宋体" w:cs="宋体"/>
          <w:color w:val="auto"/>
          <w:sz w:val="24"/>
          <w:highlight w:val="none"/>
        </w:rPr>
      </w:pPr>
    </w:p>
    <w:p w14:paraId="07FB6633">
      <w:pPr>
        <w:widowControl/>
        <w:spacing w:line="360" w:lineRule="auto"/>
        <w:rPr>
          <w:rFonts w:hint="eastAsia" w:ascii="宋体" w:hAnsi="宋体" w:cs="宋体"/>
          <w:color w:val="auto"/>
          <w:sz w:val="24"/>
          <w:highlight w:val="none"/>
        </w:rPr>
      </w:pPr>
      <w:r>
        <w:rPr>
          <w:rFonts w:hint="eastAsia" w:ascii="宋体" w:hAnsi="宋体" w:cs="宋体"/>
          <w:color w:val="auto"/>
          <w:sz w:val="24"/>
          <w:highlight w:val="none"/>
        </w:rPr>
        <w:t>注：1.《中华人民共和国政府采购法实施条例》第十九条规定“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14:paraId="43058984">
      <w:pPr>
        <w:widowControl/>
        <w:numPr>
          <w:ilvl w:val="0"/>
          <w:numId w:val="6"/>
        </w:numPr>
        <w:spacing w:line="360" w:lineRule="auto"/>
        <w:rPr>
          <w:rFonts w:hAnsi="宋体" w:cs="宋体"/>
          <w:color w:val="auto"/>
          <w:highlight w:val="none"/>
        </w:rPr>
      </w:pPr>
      <w:r>
        <w:rPr>
          <w:rFonts w:hint="eastAsia" w:ascii="宋体" w:hAnsi="宋体" w:cs="宋体"/>
          <w:color w:val="auto"/>
          <w:sz w:val="24"/>
          <w:highlight w:val="none"/>
        </w:rPr>
        <w:t>供应商提供的声明函不实时，按照《中华人民共和国政府采购法》有关提供虚假材料的规定给予处罚。</w:t>
      </w:r>
    </w:p>
    <w:p w14:paraId="02554B54">
      <w:pPr>
        <w:pStyle w:val="23"/>
        <w:rPr>
          <w:color w:val="auto"/>
          <w:highlight w:val="none"/>
        </w:rPr>
      </w:pPr>
    </w:p>
    <w:p w14:paraId="5EAAA080">
      <w:pPr>
        <w:widowControl/>
        <w:spacing w:line="360" w:lineRule="auto"/>
        <w:rPr>
          <w:rFonts w:hAnsi="宋体" w:cs="宋体"/>
          <w:b/>
          <w:bCs/>
          <w:color w:val="auto"/>
          <w:sz w:val="24"/>
          <w:highlight w:val="none"/>
        </w:rPr>
      </w:pPr>
      <w:r>
        <w:rPr>
          <w:rFonts w:hint="eastAsia" w:hAnsi="宋体" w:cs="宋体"/>
          <w:b/>
          <w:bCs/>
          <w:color w:val="auto"/>
          <w:sz w:val="24"/>
          <w:highlight w:val="none"/>
          <w:lang w:val="en-US" w:eastAsia="zh-CN"/>
        </w:rPr>
        <w:t>17</w:t>
      </w:r>
      <w:r>
        <w:rPr>
          <w:rFonts w:hint="eastAsia" w:hAnsi="宋体" w:cs="宋体"/>
          <w:b/>
          <w:bCs/>
          <w:color w:val="auto"/>
          <w:sz w:val="24"/>
          <w:highlight w:val="none"/>
        </w:rPr>
        <w:t>.其他材料</w:t>
      </w:r>
    </w:p>
    <w:p w14:paraId="01597312">
      <w:pPr>
        <w:widowControl/>
        <w:spacing w:line="360" w:lineRule="auto"/>
        <w:rPr>
          <w:rFonts w:hint="eastAsia" w:hAnsi="宋体" w:eastAsia="宋体" w:cs="宋体"/>
          <w:b/>
          <w:bCs/>
          <w:color w:val="auto"/>
          <w:sz w:val="24"/>
          <w:highlight w:val="none"/>
          <w:lang w:val="en-US" w:eastAsia="zh-CN"/>
        </w:rPr>
      </w:pPr>
      <w:r>
        <w:rPr>
          <w:rFonts w:hint="eastAsia" w:hAnsi="宋体" w:eastAsia="宋体" w:cs="宋体"/>
          <w:b/>
          <w:bCs/>
          <w:color w:val="auto"/>
          <w:sz w:val="24"/>
          <w:highlight w:val="none"/>
          <w:lang w:val="en-US" w:eastAsia="zh-CN"/>
        </w:rPr>
        <w:br w:type="page"/>
      </w:r>
      <w:r>
        <w:rPr>
          <w:rFonts w:hint="eastAsia" w:hAnsi="宋体" w:eastAsia="宋体" w:cs="宋体"/>
          <w:b/>
          <w:bCs/>
          <w:color w:val="auto"/>
          <w:sz w:val="24"/>
          <w:highlight w:val="none"/>
          <w:lang w:val="en-US" w:eastAsia="zh-CN"/>
        </w:rPr>
        <w:t>18.技术偏离表</w:t>
      </w:r>
    </w:p>
    <w:tbl>
      <w:tblPr>
        <w:tblStyle w:val="19"/>
        <w:tblW w:w="8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514"/>
        <w:gridCol w:w="1366"/>
        <w:gridCol w:w="2218"/>
        <w:gridCol w:w="2664"/>
      </w:tblGrid>
      <w:tr w14:paraId="3077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824" w:type="dxa"/>
            <w:noWrap/>
            <w:vAlign w:val="top"/>
          </w:tcPr>
          <w:p w14:paraId="6C755F28">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编号</w:t>
            </w:r>
          </w:p>
        </w:tc>
        <w:tc>
          <w:tcPr>
            <w:tcW w:w="1514" w:type="dxa"/>
            <w:noWrap/>
            <w:vAlign w:val="center"/>
          </w:tcPr>
          <w:p w14:paraId="107DFE8C">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名称</w:t>
            </w:r>
          </w:p>
        </w:tc>
        <w:tc>
          <w:tcPr>
            <w:tcW w:w="1366" w:type="dxa"/>
            <w:noWrap/>
            <w:vAlign w:val="center"/>
          </w:tcPr>
          <w:p w14:paraId="5C66F5E4">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偏离</w:t>
            </w:r>
          </w:p>
        </w:tc>
        <w:tc>
          <w:tcPr>
            <w:tcW w:w="2218" w:type="dxa"/>
            <w:noWrap/>
            <w:vAlign w:val="center"/>
          </w:tcPr>
          <w:p w14:paraId="3E591942">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偏离说明</w:t>
            </w:r>
          </w:p>
        </w:tc>
        <w:tc>
          <w:tcPr>
            <w:tcW w:w="2664" w:type="dxa"/>
            <w:noWrap/>
            <w:vAlign w:val="center"/>
          </w:tcPr>
          <w:p w14:paraId="0E4B69F4">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证明材料</w:t>
            </w:r>
          </w:p>
        </w:tc>
      </w:tr>
      <w:tr w14:paraId="2361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824" w:type="dxa"/>
            <w:noWrap/>
            <w:vAlign w:val="top"/>
          </w:tcPr>
          <w:p w14:paraId="3AE96CBA">
            <w:pPr>
              <w:spacing w:before="9" w:line="480" w:lineRule="exact"/>
              <w:jc w:val="left"/>
              <w:rPr>
                <w:rFonts w:ascii="宋体" w:hAnsi="宋体"/>
                <w:color w:val="auto"/>
                <w:kern w:val="0"/>
                <w:sz w:val="24"/>
                <w:highlight w:val="none"/>
              </w:rPr>
            </w:pPr>
            <w:r>
              <w:rPr>
                <w:rFonts w:hint="eastAsia" w:ascii="宋体" w:hAnsi="宋体"/>
                <w:color w:val="auto"/>
                <w:kern w:val="0"/>
                <w:sz w:val="24"/>
                <w:highlight w:val="none"/>
              </w:rPr>
              <w:t>1</w:t>
            </w:r>
          </w:p>
        </w:tc>
        <w:tc>
          <w:tcPr>
            <w:tcW w:w="1514" w:type="dxa"/>
            <w:noWrap/>
            <w:vAlign w:val="center"/>
          </w:tcPr>
          <w:p w14:paraId="17A1B541">
            <w:pPr>
              <w:spacing w:before="9" w:line="480" w:lineRule="exact"/>
              <w:jc w:val="left"/>
              <w:rPr>
                <w:rFonts w:ascii="宋体" w:hAnsi="宋体"/>
                <w:color w:val="auto"/>
                <w:kern w:val="0"/>
                <w:sz w:val="24"/>
                <w:highlight w:val="none"/>
                <w:lang w:eastAsia="en-US"/>
              </w:rPr>
            </w:pPr>
          </w:p>
        </w:tc>
        <w:tc>
          <w:tcPr>
            <w:tcW w:w="1366" w:type="dxa"/>
            <w:noWrap/>
            <w:vAlign w:val="center"/>
          </w:tcPr>
          <w:p w14:paraId="61D26892">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218" w:type="dxa"/>
            <w:noWrap/>
            <w:vAlign w:val="center"/>
          </w:tcPr>
          <w:p w14:paraId="056B8794">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664" w:type="dxa"/>
            <w:noWrap/>
            <w:vAlign w:val="center"/>
          </w:tcPr>
          <w:p w14:paraId="532B3000">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r>
      <w:tr w14:paraId="6FEB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824" w:type="dxa"/>
            <w:noWrap/>
            <w:vAlign w:val="top"/>
          </w:tcPr>
          <w:p w14:paraId="18C382D1">
            <w:pPr>
              <w:spacing w:before="9" w:line="480" w:lineRule="exact"/>
              <w:jc w:val="left"/>
              <w:rPr>
                <w:rFonts w:ascii="宋体" w:hAnsi="宋体"/>
                <w:color w:val="auto"/>
                <w:kern w:val="0"/>
                <w:sz w:val="24"/>
                <w:highlight w:val="none"/>
              </w:rPr>
            </w:pPr>
            <w:r>
              <w:rPr>
                <w:rFonts w:hint="eastAsia" w:ascii="宋体" w:hAnsi="宋体"/>
                <w:color w:val="auto"/>
                <w:kern w:val="0"/>
                <w:sz w:val="24"/>
                <w:highlight w:val="none"/>
              </w:rPr>
              <w:t>2</w:t>
            </w:r>
          </w:p>
        </w:tc>
        <w:tc>
          <w:tcPr>
            <w:tcW w:w="1514" w:type="dxa"/>
            <w:noWrap/>
            <w:vAlign w:val="center"/>
          </w:tcPr>
          <w:p w14:paraId="34DBD6BF">
            <w:pPr>
              <w:spacing w:before="9" w:line="480" w:lineRule="exact"/>
              <w:jc w:val="left"/>
              <w:rPr>
                <w:rFonts w:ascii="宋体" w:hAnsi="宋体"/>
                <w:color w:val="auto"/>
                <w:kern w:val="0"/>
                <w:sz w:val="24"/>
                <w:highlight w:val="none"/>
                <w:lang w:eastAsia="en-US"/>
              </w:rPr>
            </w:pPr>
          </w:p>
        </w:tc>
        <w:tc>
          <w:tcPr>
            <w:tcW w:w="1366" w:type="dxa"/>
            <w:noWrap/>
            <w:vAlign w:val="center"/>
          </w:tcPr>
          <w:p w14:paraId="02496360">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218" w:type="dxa"/>
            <w:noWrap/>
            <w:vAlign w:val="center"/>
          </w:tcPr>
          <w:p w14:paraId="340300EB">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664" w:type="dxa"/>
            <w:noWrap/>
            <w:vAlign w:val="center"/>
          </w:tcPr>
          <w:p w14:paraId="26865AF5">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r>
      <w:tr w14:paraId="3399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824" w:type="dxa"/>
            <w:noWrap/>
            <w:vAlign w:val="top"/>
          </w:tcPr>
          <w:p w14:paraId="19A4FA40">
            <w:pPr>
              <w:spacing w:before="9" w:line="480" w:lineRule="exact"/>
              <w:jc w:val="left"/>
              <w:rPr>
                <w:rFonts w:ascii="宋体" w:hAnsi="宋体"/>
                <w:color w:val="auto"/>
                <w:kern w:val="0"/>
                <w:sz w:val="24"/>
                <w:highlight w:val="none"/>
              </w:rPr>
            </w:pPr>
            <w:r>
              <w:rPr>
                <w:rFonts w:hint="eastAsia" w:ascii="宋体" w:hAnsi="宋体"/>
                <w:color w:val="auto"/>
                <w:kern w:val="0"/>
                <w:sz w:val="24"/>
                <w:highlight w:val="none"/>
              </w:rPr>
              <w:t>3</w:t>
            </w:r>
          </w:p>
        </w:tc>
        <w:tc>
          <w:tcPr>
            <w:tcW w:w="1514" w:type="dxa"/>
            <w:noWrap/>
            <w:vAlign w:val="center"/>
          </w:tcPr>
          <w:p w14:paraId="06BA7C42">
            <w:pPr>
              <w:spacing w:before="9" w:line="480" w:lineRule="exact"/>
              <w:jc w:val="left"/>
              <w:rPr>
                <w:rFonts w:ascii="宋体" w:hAnsi="宋体"/>
                <w:color w:val="auto"/>
                <w:kern w:val="0"/>
                <w:sz w:val="24"/>
                <w:highlight w:val="none"/>
              </w:rPr>
            </w:pPr>
            <w:r>
              <w:rPr>
                <w:rFonts w:ascii="宋体" w:hAnsi="宋体"/>
                <w:color w:val="auto"/>
                <w:kern w:val="0"/>
                <w:sz w:val="24"/>
                <w:highlight w:val="none"/>
              </w:rPr>
              <w:t>…</w:t>
            </w:r>
          </w:p>
        </w:tc>
        <w:tc>
          <w:tcPr>
            <w:tcW w:w="1366" w:type="dxa"/>
            <w:noWrap/>
            <w:vAlign w:val="center"/>
          </w:tcPr>
          <w:p w14:paraId="6AC17BEB">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218" w:type="dxa"/>
            <w:noWrap/>
            <w:vAlign w:val="center"/>
          </w:tcPr>
          <w:p w14:paraId="4CE19A11">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c>
          <w:tcPr>
            <w:tcW w:w="2664" w:type="dxa"/>
            <w:noWrap/>
            <w:vAlign w:val="center"/>
          </w:tcPr>
          <w:p w14:paraId="54DFA5A6">
            <w:pPr>
              <w:spacing w:before="9" w:line="480" w:lineRule="exact"/>
              <w:jc w:val="left"/>
              <w:rPr>
                <w:rFonts w:ascii="宋体" w:hAnsi="宋体"/>
                <w:color w:val="auto"/>
                <w:kern w:val="0"/>
                <w:sz w:val="24"/>
                <w:highlight w:val="none"/>
                <w:lang w:eastAsia="en-US"/>
              </w:rPr>
            </w:pPr>
            <w:r>
              <w:rPr>
                <w:rFonts w:hint="eastAsia" w:ascii="宋体" w:hAnsi="宋体"/>
                <w:color w:val="auto"/>
                <w:kern w:val="0"/>
                <w:sz w:val="24"/>
                <w:highlight w:val="none"/>
                <w:lang w:eastAsia="en-US"/>
              </w:rPr>
              <w:t>　</w:t>
            </w:r>
          </w:p>
        </w:tc>
      </w:tr>
    </w:tbl>
    <w:p w14:paraId="09CC0FE4">
      <w:pPr>
        <w:pStyle w:val="7"/>
        <w:ind w:left="432"/>
        <w:rPr>
          <w:color w:val="auto"/>
          <w:highlight w:val="none"/>
        </w:rPr>
      </w:pPr>
    </w:p>
    <w:p w14:paraId="07C6614B">
      <w:pPr>
        <w:pStyle w:val="7"/>
        <w:ind w:left="432"/>
        <w:rPr>
          <w:color w:val="auto"/>
          <w:highlight w:val="none"/>
        </w:rPr>
      </w:pPr>
      <w:r>
        <w:rPr>
          <w:color w:val="auto"/>
          <w:highlight w:val="none"/>
        </w:rPr>
        <w:t>供应商名称：（加盖公章）</w:t>
      </w:r>
    </w:p>
    <w:p w14:paraId="1CB9E031">
      <w:pPr>
        <w:pStyle w:val="7"/>
        <w:tabs>
          <w:tab w:val="left" w:pos="912"/>
          <w:tab w:val="left" w:pos="1872"/>
          <w:tab w:val="left" w:pos="2352"/>
          <w:tab w:val="left" w:pos="2832"/>
          <w:tab w:val="clear" w:pos="567"/>
        </w:tabs>
        <w:spacing w:before="159" w:line="364" w:lineRule="auto"/>
        <w:ind w:left="432" w:right="2019" w:rightChars="0"/>
        <w:rPr>
          <w:color w:val="auto"/>
          <w:spacing w:val="-17"/>
          <w:highlight w:val="none"/>
        </w:rPr>
      </w:pPr>
      <w:r>
        <w:rPr>
          <w:color w:val="auto"/>
          <w:highlight w:val="none"/>
        </w:rPr>
        <w:t>法定代表人或授权代理人：（签字或印章</w:t>
      </w:r>
      <w:r>
        <w:rPr>
          <w:color w:val="auto"/>
          <w:spacing w:val="-17"/>
          <w:highlight w:val="none"/>
        </w:rPr>
        <w:t>）</w:t>
      </w:r>
    </w:p>
    <w:p w14:paraId="3E8A9C7F">
      <w:pPr>
        <w:pStyle w:val="7"/>
        <w:tabs>
          <w:tab w:val="left" w:pos="912"/>
          <w:tab w:val="left" w:pos="1872"/>
          <w:tab w:val="left" w:pos="2352"/>
          <w:tab w:val="left" w:pos="2832"/>
          <w:tab w:val="clear" w:pos="567"/>
        </w:tabs>
        <w:spacing w:before="159" w:line="364" w:lineRule="auto"/>
        <w:ind w:left="432" w:right="2019" w:rightChars="0"/>
        <w:rPr>
          <w:color w:val="auto"/>
          <w:highlight w:val="none"/>
        </w:rPr>
      </w:pPr>
      <w:r>
        <w:rPr>
          <w:color w:val="auto"/>
          <w:spacing w:val="-17"/>
          <w:highlight w:val="none"/>
        </w:rPr>
        <w:t xml:space="preserve"> </w:t>
      </w:r>
      <w:r>
        <w:rPr>
          <w:color w:val="auto"/>
          <w:highlight w:val="none"/>
        </w:rPr>
        <w:t>日</w:t>
      </w:r>
      <w:r>
        <w:rPr>
          <w:color w:val="auto"/>
          <w:highlight w:val="none"/>
        </w:rPr>
        <w:tab/>
      </w:r>
      <w:r>
        <w:rPr>
          <w:color w:val="auto"/>
          <w:highlight w:val="none"/>
        </w:rPr>
        <w:t>期：</w:t>
      </w:r>
      <w:r>
        <w:rPr>
          <w:color w:val="auto"/>
          <w:highlight w:val="none"/>
        </w:rPr>
        <w:tab/>
      </w:r>
      <w:r>
        <w:rPr>
          <w:color w:val="auto"/>
          <w:highlight w:val="none"/>
        </w:rPr>
        <w:t>年</w:t>
      </w:r>
      <w:r>
        <w:rPr>
          <w:color w:val="auto"/>
          <w:highlight w:val="none"/>
        </w:rPr>
        <w:tab/>
      </w:r>
      <w:r>
        <w:rPr>
          <w:color w:val="auto"/>
          <w:highlight w:val="none"/>
        </w:rPr>
        <w:t>月</w:t>
      </w:r>
      <w:r>
        <w:rPr>
          <w:color w:val="auto"/>
          <w:highlight w:val="none"/>
        </w:rPr>
        <w:tab/>
      </w:r>
      <w:r>
        <w:rPr>
          <w:color w:val="auto"/>
          <w:highlight w:val="none"/>
        </w:rPr>
        <w:t>日</w:t>
      </w:r>
    </w:p>
    <w:p w14:paraId="3868E359">
      <w:pPr>
        <w:pStyle w:val="6"/>
        <w:spacing w:before="78"/>
        <w:ind w:right="15"/>
        <w:jc w:val="both"/>
        <w:rPr>
          <w:rFonts w:hint="eastAsia" w:ascii="Calibri" w:hAnsi="宋体" w:eastAsia="宋体" w:cs="宋体"/>
          <w:b/>
          <w:bCs/>
          <w:color w:val="auto"/>
          <w:kern w:val="2"/>
          <w:sz w:val="24"/>
          <w:szCs w:val="24"/>
          <w:highlight w:val="none"/>
          <w:lang w:val="zh-CN" w:eastAsia="zh-CN" w:bidi="ar-SA"/>
        </w:rPr>
      </w:pPr>
      <w:r>
        <w:rPr>
          <w:rFonts w:hint="eastAsia" w:ascii="Calibri" w:hAnsi="宋体" w:eastAsia="宋体" w:cs="宋体"/>
          <w:b/>
          <w:bCs/>
          <w:color w:val="auto"/>
          <w:kern w:val="2"/>
          <w:sz w:val="24"/>
          <w:szCs w:val="24"/>
          <w:highlight w:val="none"/>
          <w:lang w:val="en-US" w:eastAsia="zh-CN" w:bidi="ar-SA"/>
        </w:rPr>
        <w:t xml:space="preserve">20. </w:t>
      </w:r>
      <w:r>
        <w:rPr>
          <w:rFonts w:hint="eastAsia" w:ascii="Calibri" w:hAnsi="宋体" w:eastAsia="宋体" w:cs="宋体"/>
          <w:b/>
          <w:bCs/>
          <w:color w:val="auto"/>
          <w:kern w:val="2"/>
          <w:sz w:val="24"/>
          <w:szCs w:val="24"/>
          <w:highlight w:val="none"/>
          <w:lang w:val="zh-CN" w:eastAsia="zh-CN" w:bidi="ar-SA"/>
        </w:rPr>
        <w:t>商务条款偏离表</w:t>
      </w:r>
    </w:p>
    <w:tbl>
      <w:tblPr>
        <w:tblStyle w:val="19"/>
        <w:tblW w:w="80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9"/>
        <w:gridCol w:w="1119"/>
        <w:gridCol w:w="1841"/>
        <w:gridCol w:w="1440"/>
        <w:gridCol w:w="1410"/>
        <w:gridCol w:w="870"/>
      </w:tblGrid>
      <w:tr w14:paraId="6A134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9" w:type="dxa"/>
            <w:vMerge w:val="restart"/>
            <w:noWrap w:val="0"/>
            <w:vAlign w:val="top"/>
          </w:tcPr>
          <w:p w14:paraId="3A1F7817">
            <w:pPr>
              <w:pStyle w:val="28"/>
              <w:rPr>
                <w:b/>
                <w:color w:val="auto"/>
                <w:sz w:val="24"/>
                <w:highlight w:val="none"/>
              </w:rPr>
            </w:pPr>
          </w:p>
          <w:p w14:paraId="7D6A2B79">
            <w:pPr>
              <w:pStyle w:val="28"/>
              <w:spacing w:before="204"/>
              <w:ind w:left="467"/>
              <w:rPr>
                <w:color w:val="auto"/>
                <w:sz w:val="24"/>
                <w:highlight w:val="none"/>
              </w:rPr>
            </w:pPr>
            <w:r>
              <w:rPr>
                <w:color w:val="auto"/>
                <w:sz w:val="24"/>
                <w:highlight w:val="none"/>
              </w:rPr>
              <w:t>序号</w:t>
            </w:r>
          </w:p>
        </w:tc>
        <w:tc>
          <w:tcPr>
            <w:tcW w:w="2960" w:type="dxa"/>
            <w:gridSpan w:val="2"/>
            <w:noWrap w:val="0"/>
            <w:vAlign w:val="top"/>
          </w:tcPr>
          <w:p w14:paraId="0B66EC08">
            <w:pPr>
              <w:pStyle w:val="28"/>
              <w:spacing w:before="200"/>
              <w:ind w:left="1217" w:right="1211"/>
              <w:jc w:val="center"/>
              <w:rPr>
                <w:color w:val="auto"/>
                <w:sz w:val="24"/>
                <w:highlight w:val="none"/>
              </w:rPr>
            </w:pPr>
            <w:r>
              <w:rPr>
                <w:rFonts w:hint="eastAsia"/>
                <w:color w:val="auto"/>
                <w:sz w:val="24"/>
                <w:highlight w:val="none"/>
                <w:lang w:eastAsia="zh-CN"/>
              </w:rPr>
              <w:t>采购</w:t>
            </w:r>
            <w:r>
              <w:rPr>
                <w:color w:val="auto"/>
                <w:sz w:val="24"/>
                <w:highlight w:val="none"/>
              </w:rPr>
              <w:t>文件</w:t>
            </w:r>
          </w:p>
        </w:tc>
        <w:tc>
          <w:tcPr>
            <w:tcW w:w="2850" w:type="dxa"/>
            <w:gridSpan w:val="2"/>
            <w:noWrap w:val="0"/>
            <w:vAlign w:val="top"/>
          </w:tcPr>
          <w:p w14:paraId="5D4FC1FE">
            <w:pPr>
              <w:pStyle w:val="28"/>
              <w:spacing w:before="200"/>
              <w:ind w:left="1198" w:right="1191"/>
              <w:jc w:val="center"/>
              <w:rPr>
                <w:color w:val="auto"/>
                <w:sz w:val="24"/>
                <w:highlight w:val="none"/>
              </w:rPr>
            </w:pPr>
            <w:r>
              <w:rPr>
                <w:color w:val="auto"/>
                <w:sz w:val="24"/>
                <w:highlight w:val="none"/>
              </w:rPr>
              <w:t>投标文件</w:t>
            </w:r>
          </w:p>
        </w:tc>
        <w:tc>
          <w:tcPr>
            <w:tcW w:w="870" w:type="dxa"/>
            <w:vMerge w:val="restart"/>
            <w:noWrap w:val="0"/>
            <w:vAlign w:val="top"/>
          </w:tcPr>
          <w:p w14:paraId="18732E5B">
            <w:pPr>
              <w:pStyle w:val="28"/>
              <w:rPr>
                <w:b/>
                <w:color w:val="auto"/>
                <w:sz w:val="24"/>
                <w:highlight w:val="none"/>
              </w:rPr>
            </w:pPr>
          </w:p>
          <w:p w14:paraId="3BF4B22C">
            <w:pPr>
              <w:pStyle w:val="28"/>
              <w:spacing w:before="204"/>
              <w:ind w:left="353"/>
              <w:rPr>
                <w:color w:val="auto"/>
                <w:sz w:val="24"/>
                <w:highlight w:val="none"/>
              </w:rPr>
            </w:pPr>
            <w:r>
              <w:rPr>
                <w:color w:val="auto"/>
                <w:sz w:val="24"/>
                <w:highlight w:val="none"/>
              </w:rPr>
              <w:t>备注</w:t>
            </w:r>
          </w:p>
        </w:tc>
      </w:tr>
      <w:tr w14:paraId="4B778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9" w:type="dxa"/>
            <w:vMerge w:val="continue"/>
            <w:tcBorders>
              <w:top w:val="nil"/>
            </w:tcBorders>
            <w:noWrap w:val="0"/>
            <w:vAlign w:val="top"/>
          </w:tcPr>
          <w:p w14:paraId="38F2FA2A">
            <w:pPr>
              <w:rPr>
                <w:color w:val="auto"/>
                <w:sz w:val="2"/>
                <w:szCs w:val="2"/>
                <w:highlight w:val="none"/>
              </w:rPr>
            </w:pPr>
          </w:p>
        </w:tc>
        <w:tc>
          <w:tcPr>
            <w:tcW w:w="1119" w:type="dxa"/>
            <w:noWrap w:val="0"/>
            <w:vAlign w:val="top"/>
          </w:tcPr>
          <w:p w14:paraId="7BFD9837">
            <w:pPr>
              <w:pStyle w:val="28"/>
              <w:spacing w:before="200"/>
              <w:ind w:left="198"/>
              <w:rPr>
                <w:color w:val="auto"/>
                <w:sz w:val="24"/>
                <w:highlight w:val="none"/>
              </w:rPr>
            </w:pPr>
            <w:r>
              <w:rPr>
                <w:color w:val="auto"/>
                <w:sz w:val="24"/>
                <w:highlight w:val="none"/>
              </w:rPr>
              <w:t>条款号</w:t>
            </w:r>
          </w:p>
        </w:tc>
        <w:tc>
          <w:tcPr>
            <w:tcW w:w="1841" w:type="dxa"/>
            <w:noWrap w:val="0"/>
            <w:vAlign w:val="top"/>
          </w:tcPr>
          <w:p w14:paraId="3B84EEB2">
            <w:pPr>
              <w:pStyle w:val="28"/>
              <w:spacing w:before="200"/>
              <w:rPr>
                <w:color w:val="auto"/>
                <w:sz w:val="24"/>
                <w:highlight w:val="none"/>
              </w:rPr>
            </w:pPr>
            <w:r>
              <w:rPr>
                <w:color w:val="auto"/>
                <w:sz w:val="24"/>
                <w:highlight w:val="none"/>
              </w:rPr>
              <w:t>条款内容</w:t>
            </w:r>
          </w:p>
        </w:tc>
        <w:tc>
          <w:tcPr>
            <w:tcW w:w="1440" w:type="dxa"/>
            <w:noWrap w:val="0"/>
            <w:vAlign w:val="top"/>
          </w:tcPr>
          <w:p w14:paraId="2FFD64A7">
            <w:pPr>
              <w:pStyle w:val="28"/>
              <w:spacing w:before="200"/>
              <w:ind w:left="227"/>
              <w:rPr>
                <w:color w:val="auto"/>
                <w:sz w:val="24"/>
                <w:highlight w:val="none"/>
              </w:rPr>
            </w:pPr>
            <w:r>
              <w:rPr>
                <w:color w:val="auto"/>
                <w:sz w:val="24"/>
                <w:highlight w:val="none"/>
              </w:rPr>
              <w:t>条款号</w:t>
            </w:r>
          </w:p>
        </w:tc>
        <w:tc>
          <w:tcPr>
            <w:tcW w:w="1410" w:type="dxa"/>
            <w:noWrap w:val="0"/>
            <w:vAlign w:val="top"/>
          </w:tcPr>
          <w:p w14:paraId="2FC53E95">
            <w:pPr>
              <w:pStyle w:val="28"/>
              <w:spacing w:before="200"/>
              <w:rPr>
                <w:color w:val="auto"/>
                <w:sz w:val="24"/>
                <w:highlight w:val="none"/>
              </w:rPr>
            </w:pPr>
            <w:r>
              <w:rPr>
                <w:color w:val="auto"/>
                <w:sz w:val="24"/>
                <w:highlight w:val="none"/>
              </w:rPr>
              <w:t>条款内容</w:t>
            </w:r>
          </w:p>
        </w:tc>
        <w:tc>
          <w:tcPr>
            <w:tcW w:w="870" w:type="dxa"/>
            <w:vMerge w:val="continue"/>
            <w:tcBorders>
              <w:top w:val="nil"/>
            </w:tcBorders>
            <w:noWrap w:val="0"/>
            <w:vAlign w:val="top"/>
          </w:tcPr>
          <w:p w14:paraId="0040E575">
            <w:pPr>
              <w:rPr>
                <w:color w:val="auto"/>
                <w:sz w:val="2"/>
                <w:szCs w:val="2"/>
                <w:highlight w:val="none"/>
              </w:rPr>
            </w:pPr>
          </w:p>
        </w:tc>
      </w:tr>
      <w:tr w14:paraId="5B653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9" w:type="dxa"/>
            <w:noWrap w:val="0"/>
            <w:vAlign w:val="top"/>
          </w:tcPr>
          <w:p w14:paraId="6E362AA6">
            <w:pPr>
              <w:pStyle w:val="28"/>
              <w:rPr>
                <w:rFonts w:ascii="Times New Roman"/>
                <w:color w:val="auto"/>
                <w:sz w:val="20"/>
                <w:highlight w:val="none"/>
              </w:rPr>
            </w:pPr>
          </w:p>
        </w:tc>
        <w:tc>
          <w:tcPr>
            <w:tcW w:w="1119" w:type="dxa"/>
            <w:noWrap w:val="0"/>
            <w:vAlign w:val="top"/>
          </w:tcPr>
          <w:p w14:paraId="78BF2622">
            <w:pPr>
              <w:pStyle w:val="28"/>
              <w:rPr>
                <w:rFonts w:ascii="Times New Roman"/>
                <w:color w:val="auto"/>
                <w:sz w:val="20"/>
                <w:highlight w:val="none"/>
              </w:rPr>
            </w:pPr>
          </w:p>
        </w:tc>
        <w:tc>
          <w:tcPr>
            <w:tcW w:w="1841" w:type="dxa"/>
            <w:noWrap w:val="0"/>
            <w:vAlign w:val="top"/>
          </w:tcPr>
          <w:p w14:paraId="13CBBE51">
            <w:pPr>
              <w:pStyle w:val="28"/>
              <w:rPr>
                <w:rFonts w:ascii="Times New Roman"/>
                <w:color w:val="auto"/>
                <w:sz w:val="20"/>
                <w:highlight w:val="none"/>
              </w:rPr>
            </w:pPr>
          </w:p>
        </w:tc>
        <w:tc>
          <w:tcPr>
            <w:tcW w:w="1440" w:type="dxa"/>
            <w:noWrap w:val="0"/>
            <w:vAlign w:val="top"/>
          </w:tcPr>
          <w:p w14:paraId="1B0F1B3D">
            <w:pPr>
              <w:pStyle w:val="28"/>
              <w:rPr>
                <w:rFonts w:ascii="Times New Roman"/>
                <w:color w:val="auto"/>
                <w:sz w:val="20"/>
                <w:highlight w:val="none"/>
              </w:rPr>
            </w:pPr>
          </w:p>
        </w:tc>
        <w:tc>
          <w:tcPr>
            <w:tcW w:w="1410" w:type="dxa"/>
            <w:noWrap w:val="0"/>
            <w:vAlign w:val="top"/>
          </w:tcPr>
          <w:p w14:paraId="1464DC82">
            <w:pPr>
              <w:pStyle w:val="28"/>
              <w:rPr>
                <w:rFonts w:ascii="Times New Roman"/>
                <w:color w:val="auto"/>
                <w:sz w:val="20"/>
                <w:highlight w:val="none"/>
              </w:rPr>
            </w:pPr>
          </w:p>
        </w:tc>
        <w:tc>
          <w:tcPr>
            <w:tcW w:w="870" w:type="dxa"/>
            <w:noWrap w:val="0"/>
            <w:vAlign w:val="top"/>
          </w:tcPr>
          <w:p w14:paraId="684A7B87">
            <w:pPr>
              <w:pStyle w:val="28"/>
              <w:rPr>
                <w:rFonts w:ascii="Times New Roman"/>
                <w:color w:val="auto"/>
                <w:sz w:val="20"/>
                <w:highlight w:val="none"/>
              </w:rPr>
            </w:pPr>
          </w:p>
        </w:tc>
      </w:tr>
      <w:tr w14:paraId="4D1F9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9" w:type="dxa"/>
            <w:noWrap w:val="0"/>
            <w:vAlign w:val="top"/>
          </w:tcPr>
          <w:p w14:paraId="6A2C2204">
            <w:pPr>
              <w:pStyle w:val="28"/>
              <w:rPr>
                <w:rFonts w:ascii="Times New Roman"/>
                <w:color w:val="auto"/>
                <w:sz w:val="20"/>
                <w:highlight w:val="none"/>
              </w:rPr>
            </w:pPr>
          </w:p>
        </w:tc>
        <w:tc>
          <w:tcPr>
            <w:tcW w:w="1119" w:type="dxa"/>
            <w:noWrap w:val="0"/>
            <w:vAlign w:val="top"/>
          </w:tcPr>
          <w:p w14:paraId="3C1FE7BE">
            <w:pPr>
              <w:pStyle w:val="28"/>
              <w:rPr>
                <w:rFonts w:ascii="Times New Roman"/>
                <w:color w:val="auto"/>
                <w:sz w:val="20"/>
                <w:highlight w:val="none"/>
              </w:rPr>
            </w:pPr>
          </w:p>
        </w:tc>
        <w:tc>
          <w:tcPr>
            <w:tcW w:w="1841" w:type="dxa"/>
            <w:noWrap w:val="0"/>
            <w:vAlign w:val="top"/>
          </w:tcPr>
          <w:p w14:paraId="33918E62">
            <w:pPr>
              <w:pStyle w:val="28"/>
              <w:rPr>
                <w:rFonts w:ascii="Times New Roman"/>
                <w:color w:val="auto"/>
                <w:sz w:val="20"/>
                <w:highlight w:val="none"/>
              </w:rPr>
            </w:pPr>
          </w:p>
        </w:tc>
        <w:tc>
          <w:tcPr>
            <w:tcW w:w="1440" w:type="dxa"/>
            <w:noWrap w:val="0"/>
            <w:vAlign w:val="top"/>
          </w:tcPr>
          <w:p w14:paraId="525C2123">
            <w:pPr>
              <w:pStyle w:val="28"/>
              <w:rPr>
                <w:rFonts w:ascii="Times New Roman"/>
                <w:color w:val="auto"/>
                <w:sz w:val="20"/>
                <w:highlight w:val="none"/>
              </w:rPr>
            </w:pPr>
          </w:p>
        </w:tc>
        <w:tc>
          <w:tcPr>
            <w:tcW w:w="1410" w:type="dxa"/>
            <w:noWrap w:val="0"/>
            <w:vAlign w:val="top"/>
          </w:tcPr>
          <w:p w14:paraId="190336E8">
            <w:pPr>
              <w:pStyle w:val="28"/>
              <w:rPr>
                <w:rFonts w:ascii="Times New Roman"/>
                <w:color w:val="auto"/>
                <w:sz w:val="20"/>
                <w:highlight w:val="none"/>
              </w:rPr>
            </w:pPr>
          </w:p>
        </w:tc>
        <w:tc>
          <w:tcPr>
            <w:tcW w:w="870" w:type="dxa"/>
            <w:noWrap w:val="0"/>
            <w:vAlign w:val="top"/>
          </w:tcPr>
          <w:p w14:paraId="00388488">
            <w:pPr>
              <w:pStyle w:val="28"/>
              <w:rPr>
                <w:rFonts w:ascii="Times New Roman"/>
                <w:color w:val="auto"/>
                <w:sz w:val="20"/>
                <w:highlight w:val="none"/>
              </w:rPr>
            </w:pPr>
          </w:p>
        </w:tc>
      </w:tr>
      <w:tr w14:paraId="69779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9" w:type="dxa"/>
            <w:noWrap w:val="0"/>
            <w:vAlign w:val="top"/>
          </w:tcPr>
          <w:p w14:paraId="6D169F8D">
            <w:pPr>
              <w:pStyle w:val="28"/>
              <w:rPr>
                <w:rFonts w:ascii="Times New Roman"/>
                <w:color w:val="auto"/>
                <w:sz w:val="20"/>
                <w:highlight w:val="none"/>
              </w:rPr>
            </w:pPr>
          </w:p>
        </w:tc>
        <w:tc>
          <w:tcPr>
            <w:tcW w:w="1119" w:type="dxa"/>
            <w:noWrap w:val="0"/>
            <w:vAlign w:val="top"/>
          </w:tcPr>
          <w:p w14:paraId="3909A1C6">
            <w:pPr>
              <w:pStyle w:val="28"/>
              <w:rPr>
                <w:rFonts w:ascii="Times New Roman"/>
                <w:color w:val="auto"/>
                <w:sz w:val="20"/>
                <w:highlight w:val="none"/>
              </w:rPr>
            </w:pPr>
          </w:p>
        </w:tc>
        <w:tc>
          <w:tcPr>
            <w:tcW w:w="1841" w:type="dxa"/>
            <w:noWrap w:val="0"/>
            <w:vAlign w:val="top"/>
          </w:tcPr>
          <w:p w14:paraId="48032BD0">
            <w:pPr>
              <w:pStyle w:val="28"/>
              <w:rPr>
                <w:rFonts w:ascii="Times New Roman"/>
                <w:color w:val="auto"/>
                <w:sz w:val="20"/>
                <w:highlight w:val="none"/>
              </w:rPr>
            </w:pPr>
          </w:p>
        </w:tc>
        <w:tc>
          <w:tcPr>
            <w:tcW w:w="1440" w:type="dxa"/>
            <w:noWrap w:val="0"/>
            <w:vAlign w:val="top"/>
          </w:tcPr>
          <w:p w14:paraId="13733AA7">
            <w:pPr>
              <w:pStyle w:val="28"/>
              <w:rPr>
                <w:rFonts w:ascii="Times New Roman"/>
                <w:color w:val="auto"/>
                <w:sz w:val="20"/>
                <w:highlight w:val="none"/>
              </w:rPr>
            </w:pPr>
          </w:p>
        </w:tc>
        <w:tc>
          <w:tcPr>
            <w:tcW w:w="1410" w:type="dxa"/>
            <w:noWrap w:val="0"/>
            <w:vAlign w:val="top"/>
          </w:tcPr>
          <w:p w14:paraId="6700BA72">
            <w:pPr>
              <w:pStyle w:val="28"/>
              <w:rPr>
                <w:rFonts w:ascii="Times New Roman"/>
                <w:color w:val="auto"/>
                <w:sz w:val="20"/>
                <w:highlight w:val="none"/>
              </w:rPr>
            </w:pPr>
          </w:p>
        </w:tc>
        <w:tc>
          <w:tcPr>
            <w:tcW w:w="870" w:type="dxa"/>
            <w:noWrap w:val="0"/>
            <w:vAlign w:val="top"/>
          </w:tcPr>
          <w:p w14:paraId="56E3B313">
            <w:pPr>
              <w:pStyle w:val="28"/>
              <w:rPr>
                <w:rFonts w:ascii="Times New Roman"/>
                <w:color w:val="auto"/>
                <w:sz w:val="20"/>
                <w:highlight w:val="none"/>
              </w:rPr>
            </w:pPr>
          </w:p>
        </w:tc>
      </w:tr>
      <w:tr w14:paraId="564AB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9" w:type="dxa"/>
            <w:noWrap w:val="0"/>
            <w:vAlign w:val="top"/>
          </w:tcPr>
          <w:p w14:paraId="4B957FA5">
            <w:pPr>
              <w:pStyle w:val="28"/>
              <w:rPr>
                <w:rFonts w:ascii="Times New Roman"/>
                <w:color w:val="auto"/>
                <w:sz w:val="20"/>
                <w:highlight w:val="none"/>
              </w:rPr>
            </w:pPr>
          </w:p>
        </w:tc>
        <w:tc>
          <w:tcPr>
            <w:tcW w:w="1119" w:type="dxa"/>
            <w:noWrap w:val="0"/>
            <w:vAlign w:val="top"/>
          </w:tcPr>
          <w:p w14:paraId="17955B74">
            <w:pPr>
              <w:pStyle w:val="28"/>
              <w:rPr>
                <w:rFonts w:ascii="Times New Roman"/>
                <w:color w:val="auto"/>
                <w:sz w:val="20"/>
                <w:highlight w:val="none"/>
              </w:rPr>
            </w:pPr>
          </w:p>
        </w:tc>
        <w:tc>
          <w:tcPr>
            <w:tcW w:w="1841" w:type="dxa"/>
            <w:noWrap w:val="0"/>
            <w:vAlign w:val="top"/>
          </w:tcPr>
          <w:p w14:paraId="4240768D">
            <w:pPr>
              <w:pStyle w:val="28"/>
              <w:rPr>
                <w:rFonts w:ascii="Times New Roman"/>
                <w:color w:val="auto"/>
                <w:sz w:val="20"/>
                <w:highlight w:val="none"/>
              </w:rPr>
            </w:pPr>
          </w:p>
        </w:tc>
        <w:tc>
          <w:tcPr>
            <w:tcW w:w="1440" w:type="dxa"/>
            <w:noWrap w:val="0"/>
            <w:vAlign w:val="top"/>
          </w:tcPr>
          <w:p w14:paraId="2A3DE694">
            <w:pPr>
              <w:pStyle w:val="28"/>
              <w:rPr>
                <w:rFonts w:ascii="Times New Roman"/>
                <w:color w:val="auto"/>
                <w:sz w:val="20"/>
                <w:highlight w:val="none"/>
              </w:rPr>
            </w:pPr>
          </w:p>
        </w:tc>
        <w:tc>
          <w:tcPr>
            <w:tcW w:w="1410" w:type="dxa"/>
            <w:noWrap w:val="0"/>
            <w:vAlign w:val="top"/>
          </w:tcPr>
          <w:p w14:paraId="4CD16692">
            <w:pPr>
              <w:pStyle w:val="28"/>
              <w:rPr>
                <w:rFonts w:ascii="Times New Roman"/>
                <w:color w:val="auto"/>
                <w:sz w:val="20"/>
                <w:highlight w:val="none"/>
              </w:rPr>
            </w:pPr>
          </w:p>
        </w:tc>
        <w:tc>
          <w:tcPr>
            <w:tcW w:w="870" w:type="dxa"/>
            <w:noWrap w:val="0"/>
            <w:vAlign w:val="top"/>
          </w:tcPr>
          <w:p w14:paraId="42681992">
            <w:pPr>
              <w:pStyle w:val="28"/>
              <w:rPr>
                <w:rFonts w:ascii="Times New Roman"/>
                <w:color w:val="auto"/>
                <w:sz w:val="20"/>
                <w:highlight w:val="none"/>
              </w:rPr>
            </w:pPr>
          </w:p>
        </w:tc>
      </w:tr>
      <w:tr w14:paraId="312A9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9" w:type="dxa"/>
            <w:noWrap w:val="0"/>
            <w:vAlign w:val="top"/>
          </w:tcPr>
          <w:p w14:paraId="28C14EB4">
            <w:pPr>
              <w:pStyle w:val="28"/>
              <w:rPr>
                <w:rFonts w:ascii="Times New Roman"/>
                <w:color w:val="auto"/>
                <w:sz w:val="20"/>
                <w:highlight w:val="none"/>
              </w:rPr>
            </w:pPr>
          </w:p>
        </w:tc>
        <w:tc>
          <w:tcPr>
            <w:tcW w:w="1119" w:type="dxa"/>
            <w:noWrap w:val="0"/>
            <w:vAlign w:val="top"/>
          </w:tcPr>
          <w:p w14:paraId="3320D643">
            <w:pPr>
              <w:pStyle w:val="28"/>
              <w:rPr>
                <w:rFonts w:ascii="Times New Roman"/>
                <w:color w:val="auto"/>
                <w:sz w:val="20"/>
                <w:highlight w:val="none"/>
              </w:rPr>
            </w:pPr>
          </w:p>
        </w:tc>
        <w:tc>
          <w:tcPr>
            <w:tcW w:w="1841" w:type="dxa"/>
            <w:noWrap w:val="0"/>
            <w:vAlign w:val="top"/>
          </w:tcPr>
          <w:p w14:paraId="74A9A7CF">
            <w:pPr>
              <w:pStyle w:val="28"/>
              <w:rPr>
                <w:rFonts w:ascii="Times New Roman"/>
                <w:color w:val="auto"/>
                <w:sz w:val="20"/>
                <w:highlight w:val="none"/>
              </w:rPr>
            </w:pPr>
          </w:p>
        </w:tc>
        <w:tc>
          <w:tcPr>
            <w:tcW w:w="1440" w:type="dxa"/>
            <w:noWrap w:val="0"/>
            <w:vAlign w:val="top"/>
          </w:tcPr>
          <w:p w14:paraId="726C2713">
            <w:pPr>
              <w:pStyle w:val="28"/>
              <w:rPr>
                <w:rFonts w:ascii="Times New Roman"/>
                <w:color w:val="auto"/>
                <w:sz w:val="20"/>
                <w:highlight w:val="none"/>
              </w:rPr>
            </w:pPr>
          </w:p>
        </w:tc>
        <w:tc>
          <w:tcPr>
            <w:tcW w:w="1410" w:type="dxa"/>
            <w:noWrap w:val="0"/>
            <w:vAlign w:val="top"/>
          </w:tcPr>
          <w:p w14:paraId="6F583537">
            <w:pPr>
              <w:pStyle w:val="28"/>
              <w:rPr>
                <w:rFonts w:ascii="Times New Roman"/>
                <w:color w:val="auto"/>
                <w:sz w:val="20"/>
                <w:highlight w:val="none"/>
              </w:rPr>
            </w:pPr>
          </w:p>
        </w:tc>
        <w:tc>
          <w:tcPr>
            <w:tcW w:w="870" w:type="dxa"/>
            <w:noWrap w:val="0"/>
            <w:vAlign w:val="top"/>
          </w:tcPr>
          <w:p w14:paraId="034FAF48">
            <w:pPr>
              <w:pStyle w:val="28"/>
              <w:rPr>
                <w:rFonts w:ascii="Times New Roman"/>
                <w:color w:val="auto"/>
                <w:sz w:val="20"/>
                <w:highlight w:val="none"/>
              </w:rPr>
            </w:pPr>
          </w:p>
        </w:tc>
      </w:tr>
      <w:tr w14:paraId="0C37C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9" w:type="dxa"/>
            <w:noWrap w:val="0"/>
            <w:vAlign w:val="top"/>
          </w:tcPr>
          <w:p w14:paraId="518DEA8E">
            <w:pPr>
              <w:pStyle w:val="28"/>
              <w:rPr>
                <w:rFonts w:ascii="Times New Roman"/>
                <w:color w:val="auto"/>
                <w:sz w:val="20"/>
                <w:highlight w:val="none"/>
              </w:rPr>
            </w:pPr>
          </w:p>
        </w:tc>
        <w:tc>
          <w:tcPr>
            <w:tcW w:w="1119" w:type="dxa"/>
            <w:noWrap w:val="0"/>
            <w:vAlign w:val="top"/>
          </w:tcPr>
          <w:p w14:paraId="6728A509">
            <w:pPr>
              <w:pStyle w:val="28"/>
              <w:rPr>
                <w:rFonts w:ascii="Times New Roman"/>
                <w:color w:val="auto"/>
                <w:sz w:val="20"/>
                <w:highlight w:val="none"/>
              </w:rPr>
            </w:pPr>
          </w:p>
        </w:tc>
        <w:tc>
          <w:tcPr>
            <w:tcW w:w="1841" w:type="dxa"/>
            <w:noWrap w:val="0"/>
            <w:vAlign w:val="top"/>
          </w:tcPr>
          <w:p w14:paraId="33F6C44E">
            <w:pPr>
              <w:pStyle w:val="28"/>
              <w:rPr>
                <w:rFonts w:ascii="Times New Roman"/>
                <w:color w:val="auto"/>
                <w:sz w:val="20"/>
                <w:highlight w:val="none"/>
              </w:rPr>
            </w:pPr>
          </w:p>
        </w:tc>
        <w:tc>
          <w:tcPr>
            <w:tcW w:w="1440" w:type="dxa"/>
            <w:noWrap w:val="0"/>
            <w:vAlign w:val="top"/>
          </w:tcPr>
          <w:p w14:paraId="67450A07">
            <w:pPr>
              <w:pStyle w:val="28"/>
              <w:rPr>
                <w:rFonts w:ascii="Times New Roman"/>
                <w:color w:val="auto"/>
                <w:sz w:val="20"/>
                <w:highlight w:val="none"/>
              </w:rPr>
            </w:pPr>
          </w:p>
        </w:tc>
        <w:tc>
          <w:tcPr>
            <w:tcW w:w="1410" w:type="dxa"/>
            <w:noWrap w:val="0"/>
            <w:vAlign w:val="top"/>
          </w:tcPr>
          <w:p w14:paraId="14A5321E">
            <w:pPr>
              <w:pStyle w:val="28"/>
              <w:rPr>
                <w:rFonts w:ascii="Times New Roman"/>
                <w:color w:val="auto"/>
                <w:sz w:val="20"/>
                <w:highlight w:val="none"/>
              </w:rPr>
            </w:pPr>
          </w:p>
        </w:tc>
        <w:tc>
          <w:tcPr>
            <w:tcW w:w="870" w:type="dxa"/>
            <w:noWrap w:val="0"/>
            <w:vAlign w:val="top"/>
          </w:tcPr>
          <w:p w14:paraId="5EE019CE">
            <w:pPr>
              <w:pStyle w:val="28"/>
              <w:rPr>
                <w:rFonts w:ascii="Times New Roman"/>
                <w:color w:val="auto"/>
                <w:sz w:val="20"/>
                <w:highlight w:val="none"/>
              </w:rPr>
            </w:pPr>
          </w:p>
        </w:tc>
      </w:tr>
      <w:tr w14:paraId="0D43F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9" w:type="dxa"/>
            <w:noWrap w:val="0"/>
            <w:vAlign w:val="top"/>
          </w:tcPr>
          <w:p w14:paraId="2D1D1727">
            <w:pPr>
              <w:pStyle w:val="28"/>
              <w:rPr>
                <w:rFonts w:ascii="Times New Roman"/>
                <w:color w:val="auto"/>
                <w:sz w:val="20"/>
                <w:highlight w:val="none"/>
              </w:rPr>
            </w:pPr>
          </w:p>
        </w:tc>
        <w:tc>
          <w:tcPr>
            <w:tcW w:w="1119" w:type="dxa"/>
            <w:noWrap w:val="0"/>
            <w:vAlign w:val="top"/>
          </w:tcPr>
          <w:p w14:paraId="66A0F1A8">
            <w:pPr>
              <w:pStyle w:val="28"/>
              <w:rPr>
                <w:rFonts w:ascii="Times New Roman"/>
                <w:color w:val="auto"/>
                <w:sz w:val="20"/>
                <w:highlight w:val="none"/>
              </w:rPr>
            </w:pPr>
          </w:p>
        </w:tc>
        <w:tc>
          <w:tcPr>
            <w:tcW w:w="1841" w:type="dxa"/>
            <w:noWrap w:val="0"/>
            <w:vAlign w:val="top"/>
          </w:tcPr>
          <w:p w14:paraId="2CB0303D">
            <w:pPr>
              <w:pStyle w:val="28"/>
              <w:rPr>
                <w:rFonts w:ascii="Times New Roman"/>
                <w:color w:val="auto"/>
                <w:sz w:val="20"/>
                <w:highlight w:val="none"/>
              </w:rPr>
            </w:pPr>
          </w:p>
        </w:tc>
        <w:tc>
          <w:tcPr>
            <w:tcW w:w="1440" w:type="dxa"/>
            <w:noWrap w:val="0"/>
            <w:vAlign w:val="top"/>
          </w:tcPr>
          <w:p w14:paraId="2A0610D7">
            <w:pPr>
              <w:pStyle w:val="28"/>
              <w:rPr>
                <w:rFonts w:ascii="Times New Roman"/>
                <w:color w:val="auto"/>
                <w:sz w:val="20"/>
                <w:highlight w:val="none"/>
              </w:rPr>
            </w:pPr>
          </w:p>
        </w:tc>
        <w:tc>
          <w:tcPr>
            <w:tcW w:w="1410" w:type="dxa"/>
            <w:noWrap w:val="0"/>
            <w:vAlign w:val="top"/>
          </w:tcPr>
          <w:p w14:paraId="2F580866">
            <w:pPr>
              <w:pStyle w:val="28"/>
              <w:rPr>
                <w:rFonts w:ascii="Times New Roman"/>
                <w:color w:val="auto"/>
                <w:sz w:val="20"/>
                <w:highlight w:val="none"/>
              </w:rPr>
            </w:pPr>
          </w:p>
        </w:tc>
        <w:tc>
          <w:tcPr>
            <w:tcW w:w="870" w:type="dxa"/>
            <w:noWrap w:val="0"/>
            <w:vAlign w:val="top"/>
          </w:tcPr>
          <w:p w14:paraId="112E66B9">
            <w:pPr>
              <w:pStyle w:val="28"/>
              <w:rPr>
                <w:rFonts w:ascii="Times New Roman"/>
                <w:color w:val="auto"/>
                <w:sz w:val="20"/>
                <w:highlight w:val="none"/>
              </w:rPr>
            </w:pPr>
          </w:p>
        </w:tc>
      </w:tr>
    </w:tbl>
    <w:p w14:paraId="60099F14">
      <w:pPr>
        <w:pStyle w:val="7"/>
        <w:spacing w:before="6"/>
        <w:rPr>
          <w:b/>
          <w:color w:val="auto"/>
          <w:sz w:val="34"/>
          <w:highlight w:val="none"/>
        </w:rPr>
      </w:pPr>
    </w:p>
    <w:p w14:paraId="0E96D61A">
      <w:pPr>
        <w:pStyle w:val="7"/>
        <w:ind w:left="432"/>
        <w:rPr>
          <w:color w:val="auto"/>
          <w:highlight w:val="none"/>
        </w:rPr>
      </w:pPr>
      <w:r>
        <w:rPr>
          <w:color w:val="auto"/>
          <w:highlight w:val="none"/>
        </w:rPr>
        <w:t>供应商名称：（加盖公章）</w:t>
      </w:r>
    </w:p>
    <w:p w14:paraId="0A8FFBEF">
      <w:pPr>
        <w:pStyle w:val="7"/>
        <w:tabs>
          <w:tab w:val="left" w:pos="912"/>
          <w:tab w:val="left" w:pos="1872"/>
          <w:tab w:val="left" w:pos="2352"/>
          <w:tab w:val="left" w:pos="2832"/>
          <w:tab w:val="clear" w:pos="567"/>
        </w:tabs>
        <w:spacing w:before="159" w:line="364" w:lineRule="auto"/>
        <w:ind w:left="432" w:right="2899" w:rightChars="0"/>
        <w:rPr>
          <w:color w:val="auto"/>
          <w:spacing w:val="-17"/>
          <w:highlight w:val="none"/>
        </w:rPr>
      </w:pPr>
      <w:r>
        <w:rPr>
          <w:color w:val="auto"/>
          <w:highlight w:val="none"/>
        </w:rPr>
        <w:t>法定代表人或授权代理人：（签字或印章</w:t>
      </w:r>
      <w:r>
        <w:rPr>
          <w:color w:val="auto"/>
          <w:spacing w:val="-17"/>
          <w:highlight w:val="none"/>
        </w:rPr>
        <w:t xml:space="preserve">） </w:t>
      </w:r>
    </w:p>
    <w:p w14:paraId="69A00A3B">
      <w:pPr>
        <w:pStyle w:val="7"/>
        <w:tabs>
          <w:tab w:val="left" w:pos="912"/>
          <w:tab w:val="left" w:pos="1872"/>
          <w:tab w:val="left" w:pos="2352"/>
          <w:tab w:val="left" w:pos="2832"/>
          <w:tab w:val="clear" w:pos="567"/>
        </w:tabs>
        <w:spacing w:before="159" w:line="364" w:lineRule="auto"/>
        <w:ind w:left="432" w:right="5531"/>
        <w:rPr>
          <w:color w:val="auto"/>
          <w:highlight w:val="none"/>
        </w:rPr>
      </w:pPr>
      <w:r>
        <w:rPr>
          <w:color w:val="auto"/>
          <w:highlight w:val="none"/>
        </w:rPr>
        <w:t>日</w:t>
      </w:r>
      <w:r>
        <w:rPr>
          <w:color w:val="auto"/>
          <w:highlight w:val="none"/>
        </w:rPr>
        <w:tab/>
      </w:r>
      <w:r>
        <w:rPr>
          <w:color w:val="auto"/>
          <w:highlight w:val="none"/>
        </w:rPr>
        <w:t>期：</w:t>
      </w:r>
      <w:r>
        <w:rPr>
          <w:rFonts w:hint="eastAsia"/>
          <w:color w:val="auto"/>
          <w:highlight w:val="none"/>
          <w:lang w:val="en-US" w:eastAsia="zh-CN"/>
        </w:rPr>
        <w:t xml:space="preserve">   </w:t>
      </w:r>
      <w:r>
        <w:rPr>
          <w:color w:val="auto"/>
          <w:highlight w:val="none"/>
        </w:rPr>
        <w:t>年</w:t>
      </w:r>
      <w:r>
        <w:rPr>
          <w:color w:val="auto"/>
          <w:highlight w:val="none"/>
        </w:rPr>
        <w:tab/>
      </w:r>
      <w:r>
        <w:rPr>
          <w:color w:val="auto"/>
          <w:highlight w:val="none"/>
        </w:rPr>
        <w:t>月</w:t>
      </w:r>
      <w:r>
        <w:rPr>
          <w:color w:val="auto"/>
          <w:highlight w:val="none"/>
        </w:rPr>
        <w:tab/>
      </w:r>
      <w:r>
        <w:rPr>
          <w:color w:val="auto"/>
          <w:highlight w:val="none"/>
        </w:rPr>
        <w:t>日</w:t>
      </w:r>
    </w:p>
    <w:p w14:paraId="1B84FAB5">
      <w:pPr>
        <w:spacing w:before="143" w:line="360" w:lineRule="auto"/>
        <w:jc w:val="center"/>
        <w:rPr>
          <w:rFonts w:hint="eastAsia" w:ascii="宋体" w:hAnsi="宋体" w:eastAsia="宋体" w:cs="宋体"/>
          <w:b/>
          <w:bCs/>
          <w:color w:val="auto"/>
          <w:sz w:val="36"/>
          <w:szCs w:val="36"/>
          <w:highlight w:val="none"/>
          <w:lang w:val="en-US" w:eastAsia="zh-CN"/>
        </w:rPr>
      </w:pPr>
      <w:r>
        <w:rPr>
          <w:rFonts w:hint="eastAsia" w:ascii="宋体" w:hAnsi="宋体" w:cs="宋体"/>
          <w:b/>
          <w:bCs/>
          <w:color w:val="auto"/>
          <w:spacing w:val="-12"/>
          <w:sz w:val="36"/>
          <w:szCs w:val="36"/>
          <w:highlight w:val="none"/>
        </w:rPr>
        <w:t>资格承诺函</w:t>
      </w:r>
      <w:r>
        <w:rPr>
          <w:rFonts w:hint="eastAsia" w:ascii="宋体" w:hAnsi="宋体" w:cs="宋体"/>
          <w:b/>
          <w:bCs/>
          <w:color w:val="auto"/>
          <w:spacing w:val="-12"/>
          <w:sz w:val="36"/>
          <w:szCs w:val="36"/>
          <w:highlight w:val="none"/>
          <w:lang w:val="en-US" w:eastAsia="zh-CN"/>
        </w:rPr>
        <w:t>1</w:t>
      </w:r>
    </w:p>
    <w:p w14:paraId="099C180A">
      <w:pPr>
        <w:spacing w:line="360" w:lineRule="auto"/>
        <w:rPr>
          <w:rFonts w:ascii="宋体" w:hAnsi="宋体" w:cs="宋体"/>
          <w:color w:val="auto"/>
          <w:sz w:val="24"/>
          <w:highlight w:val="none"/>
        </w:rPr>
      </w:pPr>
    </w:p>
    <w:p w14:paraId="1B0F7AF6">
      <w:pPr>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（采购人或采购代理机构）</w:t>
      </w:r>
    </w:p>
    <w:p w14:paraId="5173D7A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我单位参与（项目名称）（项目编号：        ）项目的政府采购活动，现承诺如下：</w:t>
      </w:r>
    </w:p>
    <w:p w14:paraId="2DDAE54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我单位具有符合《中华人民共和国政府采购法》《中华人民共和国政府采购法实施条例》及采购文件资格要求规定的良好的商业信誉和健全的财务会计制度。</w:t>
      </w:r>
    </w:p>
    <w:p w14:paraId="36B0778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若我单位以上承诺不实，自愿承担提供虚假材料谋取中标、成交的法律责任。</w:t>
      </w:r>
    </w:p>
    <w:p w14:paraId="4D9D5F8C">
      <w:pPr>
        <w:spacing w:line="360" w:lineRule="auto"/>
        <w:ind w:firstLine="480" w:firstLineChars="200"/>
        <w:rPr>
          <w:rFonts w:hint="eastAsia" w:ascii="宋体" w:hAnsi="宋体" w:eastAsia="宋体" w:cs="宋体"/>
          <w:color w:val="auto"/>
          <w:sz w:val="24"/>
          <w:highlight w:val="none"/>
        </w:rPr>
      </w:pPr>
    </w:p>
    <w:p w14:paraId="4F31D5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承诺供应商（公章）：               </w:t>
      </w:r>
    </w:p>
    <w:p w14:paraId="4A67310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3E5F25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法定代表人或负责人或其授权代表</w:t>
      </w:r>
    </w:p>
    <w:p w14:paraId="4202D27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（签字或盖章）：                </w:t>
      </w:r>
    </w:p>
    <w:p w14:paraId="0FD60E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E4EB85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14:paraId="56EE442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说明：1.供应商可自行选择是否提供本承诺函，若不提供本承诺函，应按《中华人民共和国政府采购法》《中华人民共和国政府采购法实施条例》及采购文件资格要求提供相应的证明材料。</w:t>
      </w:r>
    </w:p>
    <w:p w14:paraId="692C7E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2.如果是联合体投标响应，联合体各方均需提供承诺函或相应的证明材料。</w:t>
      </w:r>
    </w:p>
    <w:p w14:paraId="6124D276">
      <w:pPr>
        <w:spacing w:line="360" w:lineRule="auto"/>
        <w:ind w:firstLine="480" w:firstLineChars="200"/>
        <w:rPr>
          <w:rFonts w:hint="eastAsia" w:ascii="宋体" w:hAnsi="宋体" w:eastAsia="宋体" w:cs="宋体"/>
          <w:color w:val="auto"/>
          <w:sz w:val="24"/>
          <w:highlight w:val="none"/>
        </w:rPr>
        <w:sectPr>
          <w:footerReference r:id="rId11" w:type="default"/>
          <w:pgSz w:w="11906" w:h="16838"/>
          <w:pgMar w:top="1431" w:right="1686" w:bottom="1650" w:left="1601" w:header="0" w:footer="1461" w:gutter="0"/>
          <w:pgNumType w:fmt="decimal"/>
          <w:cols w:space="720" w:num="1"/>
        </w:sectPr>
      </w:pPr>
      <w:r>
        <w:rPr>
          <w:rFonts w:hint="eastAsia" w:ascii="宋体" w:hAnsi="宋体" w:eastAsia="宋体" w:cs="宋体"/>
          <w:color w:val="auto"/>
          <w:sz w:val="24"/>
          <w:highlight w:val="none"/>
        </w:rPr>
        <w:t>3.供应商提供虚假材料谋取中标、成交的，依照《中华人民共和国政府采购法》国家有关规定追究法律责任。</w:t>
      </w:r>
    </w:p>
    <w:p w14:paraId="0EF6637F">
      <w:pPr>
        <w:spacing w:before="143" w:line="219" w:lineRule="auto"/>
        <w:jc w:val="center"/>
        <w:rPr>
          <w:rFonts w:hint="eastAsia" w:ascii="宋体" w:hAnsi="宋体" w:eastAsia="宋体" w:cs="宋体"/>
          <w:b/>
          <w:bCs/>
          <w:color w:val="auto"/>
          <w:sz w:val="36"/>
          <w:szCs w:val="36"/>
          <w:highlight w:val="none"/>
          <w:lang w:val="en-US" w:eastAsia="zh-CN"/>
        </w:rPr>
      </w:pPr>
      <w:r>
        <w:rPr>
          <w:rFonts w:hint="eastAsia" w:ascii="宋体" w:hAnsi="宋体" w:cs="宋体"/>
          <w:b/>
          <w:bCs/>
          <w:color w:val="auto"/>
          <w:spacing w:val="-12"/>
          <w:sz w:val="36"/>
          <w:szCs w:val="36"/>
          <w:highlight w:val="none"/>
        </w:rPr>
        <w:t>资格承诺函</w:t>
      </w:r>
      <w:r>
        <w:rPr>
          <w:rFonts w:hint="eastAsia" w:ascii="宋体" w:hAnsi="宋体" w:cs="宋体"/>
          <w:b/>
          <w:bCs/>
          <w:color w:val="auto"/>
          <w:spacing w:val="-12"/>
          <w:sz w:val="36"/>
          <w:szCs w:val="36"/>
          <w:highlight w:val="none"/>
          <w:lang w:val="en-US" w:eastAsia="zh-CN"/>
        </w:rPr>
        <w:t>2</w:t>
      </w:r>
    </w:p>
    <w:p w14:paraId="771F959A">
      <w:pPr>
        <w:spacing w:line="271" w:lineRule="auto"/>
        <w:rPr>
          <w:rFonts w:ascii="宋体" w:hAnsi="宋体" w:cs="宋体"/>
          <w:color w:val="auto"/>
          <w:sz w:val="24"/>
          <w:highlight w:val="none"/>
        </w:rPr>
      </w:pPr>
    </w:p>
    <w:p w14:paraId="1333F99B">
      <w:pPr>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（采购人或采购代理机构）</w:t>
      </w:r>
    </w:p>
    <w:p w14:paraId="6D47AE1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我单位参与（项目名称）（项目编号：        ）项目的政府采购活动，现承诺如下：</w:t>
      </w:r>
    </w:p>
    <w:p w14:paraId="1BBC35B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我单位符合《中华人民共和国政府采购法》《中华人民共和国政府采购法实施条例》及采购文件资格要求规定的依法缴纳税收和社会保障资金。</w:t>
      </w:r>
    </w:p>
    <w:p w14:paraId="6E0107E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若我单位以上承诺不实，自愿承担提供虚假材料谋取中标、成交的法律责任。</w:t>
      </w:r>
    </w:p>
    <w:p w14:paraId="2A9B15D0">
      <w:pPr>
        <w:spacing w:line="360" w:lineRule="auto"/>
        <w:ind w:firstLine="480" w:firstLineChars="200"/>
        <w:rPr>
          <w:rFonts w:hint="eastAsia" w:ascii="宋体" w:hAnsi="宋体" w:eastAsia="宋体" w:cs="宋体"/>
          <w:color w:val="auto"/>
          <w:sz w:val="24"/>
          <w:highlight w:val="none"/>
        </w:rPr>
      </w:pPr>
    </w:p>
    <w:p w14:paraId="26ADE2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承诺供应商（公章）：               </w:t>
      </w:r>
    </w:p>
    <w:p w14:paraId="072E92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FF4B6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法定代表人或负责人或其授权代表</w:t>
      </w:r>
    </w:p>
    <w:p w14:paraId="0D9F0D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（签字或盖章）：                </w:t>
      </w:r>
    </w:p>
    <w:p w14:paraId="78DE34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127A59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14:paraId="0C789E0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说明：1.供应商可自行选择是否提供本承诺函，若不提供本承诺函，应按《中华人民共和国政府采购法》《中华人民共和国政府采购法实施条例》及采购文件资格要求提供相应的证明材料。</w:t>
      </w:r>
    </w:p>
    <w:p w14:paraId="7883B63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2.如果是联合体投标响应，联合体各方均需提供承诺函或相应的证明材料。</w:t>
      </w:r>
    </w:p>
    <w:p w14:paraId="5BF004B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3.供应商提供虚假材料谋取中标、成交的，依照《中华人民共和国政府采购法》国家有关规定追究法律责任。</w:t>
      </w:r>
    </w:p>
    <w:p w14:paraId="7E253D4E">
      <w:pPr>
        <w:pStyle w:val="5"/>
        <w:spacing w:line="360" w:lineRule="auto"/>
        <w:rPr>
          <w:rFonts w:hint="eastAsia" w:hAnsi="宋体" w:cs="宋体"/>
          <w:color w:val="auto"/>
          <w:highlight w:val="none"/>
          <w:u w:val="none"/>
        </w:rPr>
      </w:pPr>
    </w:p>
    <w:p w14:paraId="215FB6D5">
      <w:pPr>
        <w:pStyle w:val="4"/>
        <w:rPr>
          <w:rFonts w:hint="eastAsia" w:hAnsi="宋体" w:cs="宋体"/>
          <w:color w:val="auto"/>
          <w:highlight w:val="none"/>
        </w:rPr>
      </w:pPr>
    </w:p>
    <w:p w14:paraId="1D16AF7A">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outlineLvl w:val="0"/>
        <w:rPr>
          <w:rFonts w:hAnsi="宋体"/>
          <w:color w:val="auto"/>
          <w:sz w:val="36"/>
          <w:szCs w:val="36"/>
          <w:highlight w:val="none"/>
        </w:rPr>
      </w:pPr>
      <w:r>
        <w:rPr>
          <w:rFonts w:hint="eastAsia" w:ascii="宋体" w:hAnsi="宋体" w:cs="宋体"/>
          <w:b/>
          <w:color w:val="auto"/>
          <w:sz w:val="32"/>
          <w:szCs w:val="32"/>
          <w:highlight w:val="none"/>
        </w:rPr>
        <w:br w:type="page"/>
      </w:r>
      <w:bookmarkEnd w:id="360"/>
      <w:bookmarkEnd w:id="361"/>
      <w:bookmarkEnd w:id="362"/>
      <w:bookmarkEnd w:id="363"/>
      <w:bookmarkStart w:id="364" w:name="_Toc32644"/>
      <w:r>
        <w:rPr>
          <w:rFonts w:hint="eastAsia" w:hAnsi="宋体"/>
          <w:color w:val="auto"/>
          <w:sz w:val="36"/>
          <w:szCs w:val="36"/>
          <w:highlight w:val="none"/>
        </w:rPr>
        <w:t>第7章政府采购合同格式</w:t>
      </w:r>
      <w:bookmarkEnd w:id="364"/>
    </w:p>
    <w:p w14:paraId="0EA371A3">
      <w:pPr>
        <w:spacing w:line="600" w:lineRule="exact"/>
        <w:rPr>
          <w:rFonts w:ascii="宋体" w:hAnsi="宋体"/>
          <w:color w:val="auto"/>
          <w:highlight w:val="none"/>
        </w:rPr>
      </w:pPr>
    </w:p>
    <w:p w14:paraId="2F3AB8CA">
      <w:pPr>
        <w:spacing w:line="600" w:lineRule="exact"/>
        <w:jc w:val="center"/>
        <w:rPr>
          <w:rFonts w:ascii="宋体" w:hAnsi="宋体"/>
          <w:color w:val="auto"/>
          <w:sz w:val="24"/>
          <w:highlight w:val="none"/>
        </w:rPr>
      </w:pPr>
      <w:r>
        <w:rPr>
          <w:rFonts w:hint="eastAsia" w:ascii="宋体" w:hAnsi="宋体"/>
          <w:color w:val="auto"/>
          <w:sz w:val="24"/>
          <w:highlight w:val="none"/>
        </w:rPr>
        <w:t>（此合同仅供参考。以最终采购人与中标人签定的合同条款为准进行公示，最终签定合同的主要条款不能与</w:t>
      </w:r>
      <w:r>
        <w:rPr>
          <w:rFonts w:hint="eastAsia" w:ascii="宋体" w:hAnsi="宋体"/>
          <w:color w:val="auto"/>
          <w:sz w:val="24"/>
          <w:highlight w:val="none"/>
          <w:lang w:eastAsia="zh-CN"/>
        </w:rPr>
        <w:t>采购文件</w:t>
      </w:r>
      <w:r>
        <w:rPr>
          <w:rFonts w:hint="eastAsia" w:ascii="宋体" w:hAnsi="宋体"/>
          <w:color w:val="auto"/>
          <w:sz w:val="24"/>
          <w:highlight w:val="none"/>
        </w:rPr>
        <w:t>冲突）</w:t>
      </w:r>
    </w:p>
    <w:p w14:paraId="59C67263">
      <w:pPr>
        <w:spacing w:line="600" w:lineRule="exact"/>
        <w:rPr>
          <w:rFonts w:ascii="宋体" w:hAnsi="宋体"/>
          <w:color w:val="auto"/>
          <w:sz w:val="24"/>
          <w:highlight w:val="none"/>
        </w:rPr>
      </w:pPr>
    </w:p>
    <w:p w14:paraId="506F2DD0">
      <w:pPr>
        <w:spacing w:line="600" w:lineRule="exact"/>
        <w:jc w:val="center"/>
        <w:rPr>
          <w:rFonts w:ascii="宋体" w:hAnsi="宋体"/>
          <w:color w:val="auto"/>
          <w:sz w:val="30"/>
          <w:szCs w:val="30"/>
          <w:highlight w:val="none"/>
        </w:rPr>
      </w:pPr>
      <w:r>
        <w:rPr>
          <w:rFonts w:hint="eastAsia" w:ascii="宋体" w:hAnsi="宋体"/>
          <w:color w:val="auto"/>
          <w:sz w:val="30"/>
          <w:szCs w:val="30"/>
          <w:highlight w:val="none"/>
        </w:rPr>
        <w:t>政府采购合同</w:t>
      </w:r>
    </w:p>
    <w:p w14:paraId="38F46B66">
      <w:pPr>
        <w:spacing w:line="600" w:lineRule="exact"/>
        <w:rPr>
          <w:rFonts w:ascii="宋体" w:hAnsi="宋体"/>
          <w:color w:val="auto"/>
          <w:sz w:val="24"/>
          <w:highlight w:val="none"/>
        </w:rPr>
      </w:pPr>
      <w:r>
        <w:rPr>
          <w:rFonts w:ascii="宋体" w:hAnsi="宋体"/>
          <w:color w:val="auto"/>
          <w:sz w:val="24"/>
          <w:highlight w:val="none"/>
        </w:rPr>
        <w:t xml:space="preserve"> </w:t>
      </w:r>
    </w:p>
    <w:p w14:paraId="759D2556">
      <w:pPr>
        <w:spacing w:line="600" w:lineRule="exact"/>
        <w:rPr>
          <w:rFonts w:ascii="宋体" w:hAnsi="宋体"/>
          <w:color w:val="auto"/>
          <w:sz w:val="24"/>
          <w:highlight w:val="none"/>
        </w:rPr>
      </w:pPr>
      <w:r>
        <w:rPr>
          <w:rFonts w:ascii="宋体" w:hAnsi="宋体"/>
          <w:color w:val="auto"/>
          <w:sz w:val="24"/>
          <w:highlight w:val="none"/>
        </w:rPr>
        <w:t xml:space="preserve"> </w:t>
      </w:r>
    </w:p>
    <w:p w14:paraId="2A5FB4B0">
      <w:pPr>
        <w:spacing w:line="600" w:lineRule="exact"/>
        <w:rPr>
          <w:rFonts w:ascii="宋体" w:hAnsi="宋体"/>
          <w:color w:val="auto"/>
          <w:sz w:val="24"/>
          <w:highlight w:val="none"/>
        </w:rPr>
      </w:pPr>
      <w:r>
        <w:rPr>
          <w:rFonts w:ascii="宋体" w:hAnsi="宋体"/>
          <w:color w:val="auto"/>
          <w:sz w:val="24"/>
          <w:highlight w:val="none"/>
        </w:rPr>
        <w:t xml:space="preserve">                                                                                 </w:t>
      </w:r>
    </w:p>
    <w:p w14:paraId="26F5FED2">
      <w:pPr>
        <w:spacing w:line="600" w:lineRule="exact"/>
        <w:rPr>
          <w:rFonts w:ascii="宋体" w:hAnsi="宋体"/>
          <w:color w:val="auto"/>
          <w:sz w:val="24"/>
          <w:highlight w:val="none"/>
        </w:rPr>
      </w:pPr>
      <w:r>
        <w:rPr>
          <w:rFonts w:ascii="宋体" w:hAnsi="宋体"/>
          <w:color w:val="auto"/>
          <w:sz w:val="24"/>
          <w:highlight w:val="none"/>
        </w:rPr>
        <w:t xml:space="preserve"> </w:t>
      </w:r>
    </w:p>
    <w:p w14:paraId="289EBDDD">
      <w:pPr>
        <w:spacing w:line="600" w:lineRule="exact"/>
        <w:ind w:firstLine="3000" w:firstLineChars="1250"/>
        <w:rPr>
          <w:rFonts w:ascii="宋体" w:hAnsi="宋体"/>
          <w:color w:val="auto"/>
          <w:sz w:val="24"/>
          <w:highlight w:val="none"/>
        </w:rPr>
      </w:pPr>
      <w:r>
        <w:rPr>
          <w:rFonts w:hint="eastAsia" w:ascii="宋体" w:hAnsi="宋体"/>
          <w:color w:val="auto"/>
          <w:sz w:val="24"/>
          <w:highlight w:val="none"/>
        </w:rPr>
        <w:t>项目名称:</w:t>
      </w:r>
    </w:p>
    <w:p w14:paraId="2C2F0459">
      <w:pPr>
        <w:spacing w:line="600" w:lineRule="exact"/>
        <w:ind w:firstLine="3000" w:firstLineChars="1250"/>
        <w:rPr>
          <w:rFonts w:ascii="宋体" w:hAnsi="宋体"/>
          <w:color w:val="auto"/>
          <w:sz w:val="24"/>
          <w:highlight w:val="none"/>
        </w:rPr>
      </w:pPr>
      <w:r>
        <w:rPr>
          <w:rFonts w:hint="eastAsia" w:ascii="宋体" w:hAnsi="宋体"/>
          <w:color w:val="auto"/>
          <w:sz w:val="24"/>
          <w:highlight w:val="none"/>
        </w:rPr>
        <w:t>合同编号:</w:t>
      </w:r>
    </w:p>
    <w:p w14:paraId="1A14B43D">
      <w:pPr>
        <w:spacing w:line="600" w:lineRule="exact"/>
        <w:ind w:firstLine="3000" w:firstLineChars="1250"/>
        <w:rPr>
          <w:rFonts w:ascii="宋体" w:hAnsi="宋体"/>
          <w:color w:val="auto"/>
          <w:sz w:val="24"/>
          <w:highlight w:val="none"/>
        </w:rPr>
      </w:pPr>
      <w:r>
        <w:rPr>
          <w:rFonts w:hint="eastAsia" w:ascii="宋体" w:hAnsi="宋体"/>
          <w:color w:val="auto"/>
          <w:sz w:val="24"/>
          <w:highlight w:val="none"/>
        </w:rPr>
        <w:t>采购编号:</w:t>
      </w:r>
    </w:p>
    <w:p w14:paraId="6B5F08CA">
      <w:pPr>
        <w:spacing w:line="600" w:lineRule="exact"/>
        <w:rPr>
          <w:rFonts w:ascii="宋体" w:hAnsi="宋体"/>
          <w:color w:val="auto"/>
          <w:sz w:val="24"/>
          <w:highlight w:val="none"/>
        </w:rPr>
      </w:pPr>
      <w:r>
        <w:rPr>
          <w:rFonts w:ascii="宋体" w:hAnsi="宋体"/>
          <w:color w:val="auto"/>
          <w:sz w:val="24"/>
          <w:highlight w:val="none"/>
        </w:rPr>
        <w:t xml:space="preserve">  </w:t>
      </w:r>
    </w:p>
    <w:p w14:paraId="00FA7A57">
      <w:pPr>
        <w:spacing w:line="600" w:lineRule="exact"/>
        <w:rPr>
          <w:rFonts w:ascii="宋体" w:hAnsi="宋体"/>
          <w:color w:val="auto"/>
          <w:sz w:val="24"/>
          <w:highlight w:val="none"/>
        </w:rPr>
      </w:pPr>
    </w:p>
    <w:p w14:paraId="1A3B52E9">
      <w:pPr>
        <w:spacing w:line="600" w:lineRule="exact"/>
        <w:rPr>
          <w:rFonts w:ascii="宋体" w:hAnsi="宋体"/>
          <w:color w:val="auto"/>
          <w:sz w:val="24"/>
          <w:highlight w:val="none"/>
        </w:rPr>
      </w:pPr>
    </w:p>
    <w:p w14:paraId="64940625">
      <w:pPr>
        <w:spacing w:line="600" w:lineRule="exact"/>
        <w:rPr>
          <w:rFonts w:ascii="宋体" w:hAnsi="宋体"/>
          <w:color w:val="auto"/>
          <w:sz w:val="24"/>
          <w:highlight w:val="none"/>
        </w:rPr>
      </w:pPr>
    </w:p>
    <w:p w14:paraId="33CA3D60">
      <w:pPr>
        <w:spacing w:line="600" w:lineRule="exact"/>
        <w:ind w:firstLine="1440" w:firstLineChars="600"/>
        <w:rPr>
          <w:rFonts w:ascii="宋体" w:hAnsi="宋体"/>
          <w:color w:val="auto"/>
          <w:sz w:val="24"/>
          <w:highlight w:val="none"/>
        </w:rPr>
      </w:pPr>
      <w:r>
        <w:rPr>
          <w:rFonts w:hint="eastAsia" w:ascii="宋体" w:hAnsi="宋体"/>
          <w:color w:val="auto"/>
          <w:sz w:val="24"/>
          <w:highlight w:val="none"/>
        </w:rPr>
        <w:t xml:space="preserve">甲    方:                    </w:t>
      </w:r>
    </w:p>
    <w:p w14:paraId="43E44A08">
      <w:pPr>
        <w:spacing w:line="600" w:lineRule="exact"/>
        <w:ind w:firstLine="1440" w:firstLineChars="600"/>
        <w:rPr>
          <w:rFonts w:ascii="宋体" w:hAnsi="宋体"/>
          <w:color w:val="auto"/>
          <w:sz w:val="24"/>
          <w:highlight w:val="none"/>
        </w:rPr>
      </w:pPr>
      <w:r>
        <w:rPr>
          <w:rFonts w:hint="eastAsia" w:ascii="宋体" w:hAnsi="宋体"/>
          <w:color w:val="auto"/>
          <w:sz w:val="24"/>
          <w:highlight w:val="none"/>
        </w:rPr>
        <w:t xml:space="preserve">乙    方:                    </w:t>
      </w:r>
    </w:p>
    <w:p w14:paraId="5F0D711F">
      <w:pPr>
        <w:spacing w:line="600" w:lineRule="exact"/>
        <w:rPr>
          <w:rFonts w:ascii="宋体" w:hAnsi="宋体"/>
          <w:color w:val="auto"/>
          <w:sz w:val="24"/>
          <w:highlight w:val="none"/>
        </w:rPr>
      </w:pPr>
      <w:r>
        <w:rPr>
          <w:rFonts w:ascii="宋体" w:hAnsi="宋体"/>
          <w:color w:val="auto"/>
          <w:sz w:val="24"/>
          <w:highlight w:val="none"/>
        </w:rPr>
        <w:t xml:space="preserve"> </w:t>
      </w:r>
    </w:p>
    <w:p w14:paraId="45CA8986">
      <w:pPr>
        <w:spacing w:line="600" w:lineRule="exact"/>
        <w:rPr>
          <w:rFonts w:ascii="宋体" w:hAnsi="宋体"/>
          <w:color w:val="auto"/>
          <w:sz w:val="24"/>
          <w:highlight w:val="none"/>
        </w:rPr>
      </w:pPr>
      <w:r>
        <w:rPr>
          <w:rFonts w:ascii="宋体" w:hAnsi="宋体"/>
          <w:color w:val="auto"/>
          <w:sz w:val="24"/>
          <w:highlight w:val="none"/>
        </w:rPr>
        <w:t xml:space="preserve"> </w:t>
      </w:r>
    </w:p>
    <w:p w14:paraId="71A20C30">
      <w:pPr>
        <w:widowControl/>
        <w:spacing w:line="480" w:lineRule="exact"/>
        <w:jc w:val="left"/>
        <w:rPr>
          <w:rFonts w:ascii="宋体" w:hAnsi="宋体" w:cs="宋体"/>
          <w:color w:val="auto"/>
          <w:sz w:val="24"/>
          <w:highlight w:val="none"/>
        </w:rPr>
      </w:pPr>
      <w:r>
        <w:rPr>
          <w:rFonts w:ascii="宋体" w:hAnsi="宋体"/>
          <w:color w:val="auto"/>
          <w:sz w:val="24"/>
          <w:highlight w:val="none"/>
        </w:rPr>
        <w:br w:type="page"/>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（甲方）所需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（项目名称及项目编号）经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（采购代理机构）以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采购方式进行采购。经评审委员会评审，确定</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（乙方）为项目成交（中标）</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。甲、乙双方根据《中华人民共和国政府采购法》及其实施条例、《中华人民共和国民法典》等相关法律法规以及本项目采购文件的规定，经平等协商签订本合同。</w:t>
      </w:r>
    </w:p>
    <w:p w14:paraId="19B459C1">
      <w:pPr>
        <w:spacing w:line="48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第一条  合同组成文件</w:t>
      </w:r>
    </w:p>
    <w:p w14:paraId="02029E72">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本合同所附下列文件是构成本合同不可分割的部分：</w:t>
      </w:r>
    </w:p>
    <w:p w14:paraId="4BD0768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（一）本项目招标（采购）文件及附件（含答疑）</w:t>
      </w:r>
    </w:p>
    <w:p w14:paraId="11AD052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（二）中标（成交）人的投标（响应）文件</w:t>
      </w:r>
    </w:p>
    <w:p w14:paraId="5396706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（三）合同格式、合同条款</w:t>
      </w:r>
    </w:p>
    <w:p w14:paraId="29C0884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（四）中标（成交）人在评标（评审）过程中做出的有关澄清、说明或者补正文件</w:t>
      </w:r>
    </w:p>
    <w:p w14:paraId="493879D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（五）中标（成交）通知书</w:t>
      </w:r>
    </w:p>
    <w:p w14:paraId="65978E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（六）本合同附件</w:t>
      </w:r>
    </w:p>
    <w:p w14:paraId="0C45FC91">
      <w:pPr>
        <w:spacing w:line="48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第二条  合同标的</w:t>
      </w:r>
    </w:p>
    <w:p w14:paraId="5ECBEDE3">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托管范围：</w:t>
      </w:r>
    </w:p>
    <w:p w14:paraId="63BE6816">
      <w:pPr>
        <w:adjustRightInd w:val="0"/>
        <w:snapToGrid w:val="0"/>
        <w:spacing w:line="480" w:lineRule="exact"/>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项目名称：</w:t>
      </w:r>
    </w:p>
    <w:p w14:paraId="2606EB86">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项目类型：</w:t>
      </w:r>
    </w:p>
    <w:p w14:paraId="765A81CF">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坐落位置：</w:t>
      </w:r>
    </w:p>
    <w:p w14:paraId="37D4B7AA">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建筑面积：</w:t>
      </w:r>
    </w:p>
    <w:p w14:paraId="4D38D2A3">
      <w:pPr>
        <w:autoSpaceDE w:val="0"/>
        <w:autoSpaceDN w:val="0"/>
        <w:adjustRightInd w:val="0"/>
        <w:snapToGrid w:val="0"/>
        <w:spacing w:line="480" w:lineRule="exact"/>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lang w:val="zh-CN"/>
        </w:rPr>
        <w:t>……</w:t>
      </w:r>
    </w:p>
    <w:p w14:paraId="5F723ACA">
      <w:pPr>
        <w:spacing w:line="48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第三条  合同内容及服务标准</w:t>
      </w:r>
    </w:p>
    <w:p w14:paraId="48E36396">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内容及标准</w:t>
      </w:r>
      <w:r>
        <w:rPr>
          <w:rFonts w:hint="eastAsia" w:ascii="宋体" w:hAnsi="宋体" w:cs="宋体"/>
          <w:bCs/>
          <w:color w:val="auto"/>
          <w:sz w:val="24"/>
          <w:highlight w:val="none"/>
        </w:rPr>
        <w:t>（可另附明细附件）</w:t>
      </w:r>
    </w:p>
    <w:p w14:paraId="66EB1BA3">
      <w:pPr>
        <w:spacing w:line="48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第四条  服务要求</w:t>
      </w:r>
    </w:p>
    <w:p w14:paraId="5A9634C0">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乙方须按下列约定，实现管理目标</w:t>
      </w:r>
    </w:p>
    <w:p w14:paraId="3F9CADB7">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p>
    <w:p w14:paraId="3334C07C">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zh-CN"/>
        </w:rPr>
        <w:t>……</w:t>
      </w:r>
    </w:p>
    <w:p w14:paraId="4FF69F6C">
      <w:pPr>
        <w:spacing w:line="48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第五条  合同金额</w:t>
      </w:r>
    </w:p>
    <w:p w14:paraId="2D45D78A">
      <w:pPr>
        <w:adjustRightInd w:val="0"/>
        <w:snapToGrid w:val="0"/>
        <w:spacing w:line="480" w:lineRule="exact"/>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1.管理服务费合计为：</w:t>
      </w:r>
      <w:r>
        <w:rPr>
          <w:rFonts w:hint="eastAsia" w:ascii="宋体" w:hAnsi="宋体" w:cs="宋体"/>
          <w:color w:val="auto"/>
          <w:sz w:val="24"/>
          <w:highlight w:val="none"/>
          <w:u w:val="single"/>
        </w:rPr>
        <w:t xml:space="preserve">       元，大写人民币：        </w:t>
      </w:r>
    </w:p>
    <w:p w14:paraId="0D90D811">
      <w:pPr>
        <w:adjustRightInd w:val="0"/>
        <w:snapToGrid w:val="0"/>
        <w:spacing w:line="480" w:lineRule="exact"/>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rPr>
        <w:t>2.此费用包括：</w:t>
      </w:r>
      <w:r>
        <w:rPr>
          <w:rFonts w:hint="eastAsia" w:ascii="宋体" w:hAnsi="宋体" w:cs="宋体"/>
          <w:color w:val="auto"/>
          <w:sz w:val="24"/>
          <w:highlight w:val="none"/>
          <w:lang w:val="zh-CN"/>
        </w:rPr>
        <w:t>……</w:t>
      </w:r>
    </w:p>
    <w:p w14:paraId="1A1C7635">
      <w:pPr>
        <w:adjustRightInd w:val="0"/>
        <w:snapToGrid w:val="0"/>
        <w:spacing w:line="480" w:lineRule="exact"/>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lang w:val="zh-CN"/>
        </w:rPr>
        <w:t>3.付款途径：</w:t>
      </w:r>
    </w:p>
    <w:p w14:paraId="3DDD8484">
      <w:pPr>
        <w:adjustRightInd w:val="0"/>
        <w:snapToGrid w:val="0"/>
        <w:spacing w:line="480" w:lineRule="exact"/>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lang w:val="zh-CN"/>
        </w:rPr>
        <w:t>4.付款方式：</w:t>
      </w:r>
    </w:p>
    <w:p w14:paraId="6288D91E">
      <w:pPr>
        <w:overflowPunct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5.履约保证金：</w:t>
      </w:r>
    </w:p>
    <w:p w14:paraId="1940EDDF">
      <w:pPr>
        <w:overflowPunct w:val="0"/>
        <w:snapToGrid w:val="0"/>
        <w:spacing w:line="480" w:lineRule="exact"/>
        <w:ind w:firstLine="547" w:firstLineChars="228"/>
        <w:rPr>
          <w:rFonts w:ascii="宋体" w:hAnsi="宋体" w:cs="宋体"/>
          <w:color w:val="auto"/>
          <w:sz w:val="24"/>
          <w:highlight w:val="none"/>
        </w:rPr>
      </w:pPr>
      <w:r>
        <w:rPr>
          <w:rFonts w:hint="eastAsia" w:ascii="宋体" w:hAnsi="宋体" w:cs="宋体"/>
          <w:color w:val="auto"/>
          <w:sz w:val="24"/>
          <w:highlight w:val="none"/>
        </w:rPr>
        <w:t xml:space="preserve">6.乙方开户名称： </w:t>
      </w:r>
    </w:p>
    <w:p w14:paraId="3696C1D9">
      <w:pPr>
        <w:overflowPunct w:val="0"/>
        <w:snapToGrid w:val="0"/>
        <w:spacing w:line="480" w:lineRule="exact"/>
        <w:ind w:firstLine="1022" w:firstLineChars="426"/>
        <w:rPr>
          <w:rFonts w:ascii="宋体" w:hAnsi="宋体" w:cs="宋体"/>
          <w:color w:val="auto"/>
          <w:sz w:val="24"/>
          <w:highlight w:val="none"/>
        </w:rPr>
      </w:pPr>
      <w:r>
        <w:rPr>
          <w:rFonts w:hint="eastAsia" w:ascii="宋体" w:hAnsi="宋体" w:cs="宋体"/>
          <w:color w:val="auto"/>
          <w:sz w:val="24"/>
          <w:highlight w:val="none"/>
        </w:rPr>
        <w:t>开户银行：</w:t>
      </w:r>
    </w:p>
    <w:p w14:paraId="5235F62A">
      <w:pPr>
        <w:overflowPunct w:val="0"/>
        <w:snapToGrid w:val="0"/>
        <w:spacing w:line="480" w:lineRule="exact"/>
        <w:ind w:firstLine="1022" w:firstLineChars="426"/>
        <w:rPr>
          <w:rFonts w:ascii="宋体" w:hAnsi="宋体" w:cs="宋体"/>
          <w:color w:val="auto"/>
          <w:sz w:val="24"/>
          <w:highlight w:val="none"/>
        </w:rPr>
      </w:pPr>
      <w:r>
        <w:rPr>
          <w:rFonts w:hint="eastAsia" w:ascii="宋体" w:hAnsi="宋体" w:cs="宋体"/>
          <w:color w:val="auto"/>
          <w:sz w:val="24"/>
          <w:highlight w:val="none"/>
        </w:rPr>
        <w:t>银行帐号：</w:t>
      </w:r>
    </w:p>
    <w:p w14:paraId="2DB6C32B">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属政府采购预算的资金，甲方应按合同约定的付款期限，通过《山东省政府采购管理系统》及时向财政部门报送资金付款计划，财政部门对支付申请审核无误后，由甲方在15个工作日内将款项支付至乙方账户;非政府采购预算资金，按甲方财务管理规定办理报销事宜。</w:t>
      </w:r>
    </w:p>
    <w:p w14:paraId="7C3D05C9">
      <w:pPr>
        <w:numPr>
          <w:ilvl w:val="0"/>
          <w:numId w:val="7"/>
        </w:num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 xml:space="preserve"> 履行期限</w:t>
      </w:r>
    </w:p>
    <w:p w14:paraId="15579876">
      <w:pPr>
        <w:overflowPunct w:val="0"/>
        <w:snapToGrid w:val="0"/>
        <w:spacing w:line="480" w:lineRule="exact"/>
        <w:ind w:firstLine="540" w:firstLineChars="225"/>
        <w:rPr>
          <w:rFonts w:ascii="宋体" w:hAnsi="宋体" w:cs="宋体"/>
          <w:bCs/>
          <w:color w:val="auto"/>
          <w:sz w:val="24"/>
          <w:highlight w:val="none"/>
        </w:rPr>
      </w:pPr>
      <w:r>
        <w:rPr>
          <w:rFonts w:hint="eastAsia" w:ascii="宋体" w:hAnsi="宋体" w:cs="宋体"/>
          <w:bCs/>
          <w:color w:val="auto"/>
          <w:sz w:val="24"/>
          <w:highlight w:val="none"/>
        </w:rPr>
        <w:t>服务期限：自   年   月  日至   年   月   日。</w:t>
      </w:r>
    </w:p>
    <w:p w14:paraId="7969705F">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第七条  验收要求</w:t>
      </w:r>
    </w:p>
    <w:p w14:paraId="79686772">
      <w:pPr>
        <w:overflowPunct w:val="0"/>
        <w:snapToGrid w:val="0"/>
        <w:spacing w:line="480" w:lineRule="exact"/>
        <w:ind w:firstLine="540" w:firstLineChars="225"/>
        <w:rPr>
          <w:rFonts w:ascii="宋体" w:hAnsi="宋体" w:cs="宋体"/>
          <w:bCs/>
          <w:color w:val="auto"/>
          <w:sz w:val="24"/>
          <w:highlight w:val="none"/>
        </w:rPr>
      </w:pPr>
      <w:r>
        <w:rPr>
          <w:rFonts w:hint="eastAsia" w:ascii="宋体" w:hAnsi="宋体" w:cs="宋体"/>
          <w:bCs/>
          <w:color w:val="auto"/>
          <w:sz w:val="24"/>
          <w:highlight w:val="none"/>
        </w:rPr>
        <w:t>按照目标管理进行验收。</w:t>
      </w:r>
    </w:p>
    <w:p w14:paraId="1372216A">
      <w:pPr>
        <w:overflowPunct w:val="0"/>
        <w:snapToGrid w:val="0"/>
        <w:spacing w:line="480" w:lineRule="exact"/>
        <w:ind w:firstLine="540" w:firstLineChars="225"/>
        <w:rPr>
          <w:rFonts w:ascii="宋体" w:hAnsi="宋体" w:cs="宋体"/>
          <w:bCs/>
          <w:color w:val="auto"/>
          <w:sz w:val="24"/>
          <w:highlight w:val="none"/>
        </w:rPr>
      </w:pPr>
      <w:r>
        <w:rPr>
          <w:rFonts w:ascii="Arial" w:hAnsi="Arial" w:cs="Arial"/>
          <w:bCs/>
          <w:color w:val="auto"/>
          <w:sz w:val="24"/>
          <w:highlight w:val="none"/>
        </w:rPr>
        <w:t>……</w:t>
      </w:r>
    </w:p>
    <w:p w14:paraId="7F9663F5">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第八条  甲方的权利和义务</w:t>
      </w:r>
    </w:p>
    <w:p w14:paraId="0F12F34D">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（一）甲方的权利</w:t>
      </w:r>
    </w:p>
    <w:p w14:paraId="3B2ABD9A">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1.甲方有权随时向乙方了解项目进度，并要求乙方提供项目相关资料。</w:t>
      </w:r>
    </w:p>
    <w:p w14:paraId="37919DB4">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2.甲方有权对项目资金使用情况进行监督、检查，并要求乙方提供相关资料。</w:t>
      </w:r>
    </w:p>
    <w:p w14:paraId="21B0EAB5">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3.甲方有权按照本合同约定或有关法律法规、政府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2671D5F9">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4.甲方有权在乙方履行合同过程中出现损害或可能损害公共利益、公共安全情形时终止本合同。</w:t>
      </w:r>
    </w:p>
    <w:p w14:paraId="76E2F5AC">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5.甲方有权根据国家政策或法律法规的变动对服务项目的需求标准和质量要求作出相应变动或者取消项目。</w:t>
      </w:r>
    </w:p>
    <w:p w14:paraId="5D0B1ECD">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6.甲方有权将乙方履行合同情况及不符合政府购买服务管理规定情况，向有关部门报告并纳入不良信用记录、年检（报）、评估、执法等监管体系中。</w:t>
      </w:r>
    </w:p>
    <w:p w14:paraId="5D8484E9">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（二）甲方的义务</w:t>
      </w:r>
    </w:p>
    <w:p w14:paraId="72962486">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1.甲方应及时向乙方提供与履行本合同相关的所有必须的文件、资料。</w:t>
      </w:r>
    </w:p>
    <w:p w14:paraId="6C986836">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2.甲方应为乙方履行本合同过程中与相关政府部门及其他第三方的沟通、协调提供必要的协助。</w:t>
      </w:r>
    </w:p>
    <w:p w14:paraId="47D0E1F1">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3.甲方应按照合同约定支付服务费用。</w:t>
      </w:r>
    </w:p>
    <w:p w14:paraId="76F05FD6">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第九条  乙方的权利和义务</w:t>
      </w:r>
    </w:p>
    <w:p w14:paraId="158DC642">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（一）乙方的权利</w:t>
      </w:r>
    </w:p>
    <w:p w14:paraId="176A79CC">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1.乙方有权按照本合同约定向甲方收取服务费用。</w:t>
      </w:r>
    </w:p>
    <w:p w14:paraId="2451CDA0">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2.乙方有权自甲方处获得与提供本合同项下服务相关的所有必须的文件、资料。</w:t>
      </w:r>
    </w:p>
    <w:p w14:paraId="143C7476">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bCs/>
          <w:color w:val="auto"/>
          <w:sz w:val="24"/>
          <w:highlight w:val="none"/>
        </w:rPr>
        <w:t>（二）乙方的义务</w:t>
      </w:r>
    </w:p>
    <w:p w14:paraId="2059CEE6">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color w:val="auto"/>
          <w:sz w:val="24"/>
          <w:highlight w:val="none"/>
        </w:rPr>
        <w:t>1.乙方应配备具有相应资质、特定经验的工作人员负责项目实施，按照本合同约定的标准、要求和时间完成项目。</w:t>
      </w:r>
    </w:p>
    <w:p w14:paraId="2A0902EF">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color w:val="auto"/>
          <w:sz w:val="24"/>
          <w:highlight w:val="none"/>
        </w:rPr>
        <w:t>2.乙方不得以任何理由将本合同项下的服务项目转包给第三方承担。</w:t>
      </w:r>
    </w:p>
    <w:p w14:paraId="726C1583">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color w:val="auto"/>
          <w:sz w:val="24"/>
          <w:highlight w:val="none"/>
        </w:rPr>
        <w:t>3.乙方应全面履行本项目实施过程中的相关安全管理职责，因乙方未尽管理职责发生安全事故的，由乙方承担相应的法律责任。</w:t>
      </w:r>
    </w:p>
    <w:p w14:paraId="69E43BFA">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4.乙方承诺根据本合同提供的服务及相关的软件和技术资料，均已取得有关知识产权的权利人的合法授权。如发生涉及到专利权、著作权、商标权等争议，乙方负责处理并承担由此引起的全部法律及经济责任。</w:t>
      </w:r>
    </w:p>
    <w:p w14:paraId="2A8CBFB5">
      <w:pPr>
        <w:tabs>
          <w:tab w:val="left" w:pos="426"/>
          <w:tab w:val="left" w:pos="1701"/>
        </w:tabs>
        <w:overflowPunct w:val="0"/>
        <w:autoSpaceDE w:val="0"/>
        <w:autoSpaceDN w:val="0"/>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5.乙方应接受并配合甲方或甲方组织的对本合同履行情况的监督与检查，对于甲方指出的问题，应及时作出合理解释或予以纠正。</w:t>
      </w:r>
    </w:p>
    <w:p w14:paraId="13D1A7E7">
      <w:pPr>
        <w:tabs>
          <w:tab w:val="left" w:pos="426"/>
          <w:tab w:val="left" w:pos="1701"/>
        </w:tabs>
        <w:overflowPunct w:val="0"/>
        <w:autoSpaceDE w:val="0"/>
        <w:autoSpaceDN w:val="0"/>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6.乙方应对项目资金进行规范的财务管理和会计核算，加强自身监督，确保资金规范管理和使用。</w:t>
      </w:r>
    </w:p>
    <w:p w14:paraId="04D8EB72">
      <w:pPr>
        <w:tabs>
          <w:tab w:val="left" w:pos="426"/>
          <w:tab w:val="left" w:pos="1701"/>
        </w:tabs>
        <w:overflowPunct w:val="0"/>
        <w:autoSpaceDE w:val="0"/>
        <w:autoSpaceDN w:val="0"/>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7.乙方应建立健全财务管理与报告制度，按要求向甲方提供资金的使用情况、项目执行情况、成果总结等材料，并配合甲方及甲方组织的监督检查或绩效评价。</w:t>
      </w:r>
    </w:p>
    <w:p w14:paraId="586AC53B">
      <w:pPr>
        <w:tabs>
          <w:tab w:val="left" w:pos="426"/>
          <w:tab w:val="left" w:pos="1701"/>
        </w:tabs>
        <w:overflowPunct w:val="0"/>
        <w:autoSpaceDE w:val="0"/>
        <w:autoSpaceDN w:val="0"/>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5549271E">
      <w:pPr>
        <w:tabs>
          <w:tab w:val="left" w:pos="426"/>
          <w:tab w:val="left" w:pos="1701"/>
        </w:tabs>
        <w:overflowPunct w:val="0"/>
        <w:autoSpaceDE w:val="0"/>
        <w:autoSpaceDN w:val="0"/>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9.项目交付后，乙方应无条件返还甲方向其提供的文件、资料并向甲方移交项目资料，同时乙方应当自留一份完整的项目档案并予以妥善保管。</w:t>
      </w:r>
    </w:p>
    <w:p w14:paraId="2191B0C0">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第十条  违约责任</w:t>
      </w:r>
    </w:p>
    <w:p w14:paraId="799FB488">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在本合同履行过程中，双方因违约或重大过失造成对方经济、社会效益等损失的应当赔偿。</w:t>
      </w:r>
    </w:p>
    <w:p w14:paraId="6CAAF30D">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1.甲方无正当理由拒绝接收服务，到期拒付服务费的，甲方向乙方偿付本合同总服务费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%的违约金。甲方逾期付款的，则每日按逾期金额的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%向乙方偿付违约金。</w:t>
      </w:r>
    </w:p>
    <w:p w14:paraId="764EE433">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2.乙方提供的服务不符合本项目相关文件和本合同规定的，甲方有权拒收，并且乙方须向甲方支付本合同总服务费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2658E94C">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3.乙方未能按照本合同约定时间提供服务或完成约定的项目服务内容的，从逾期之日起每日按本合同总服务费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%的数额向甲方支付违约金；逾期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日以上的，甲方有权终止合同，由此造成的甲方经济损失由乙方承担。</w:t>
      </w:r>
    </w:p>
    <w:p w14:paraId="59E99D6F">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4.未经甲方同意，乙方不得擅自将本合同服务转包第三方承担。如擅自转包，则乙方应支付给甲方本合同总服务费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131B9CDD">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5.其他违约责任按《中华人民共和国民法典》处理。</w:t>
      </w:r>
    </w:p>
    <w:p w14:paraId="7988F3AB">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第十一条  保密条款</w:t>
      </w:r>
    </w:p>
    <w:p w14:paraId="2C7C68B5">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乙方应遵守国家有关保密的法律法规和行业规定，并对甲方提供的资料负有保密义务。未经甲方同意，不得将承接政府采购项目获得的政府、公民个人等各种信息和资料提供给其他单位和个人。如发生以上情况，甲方有权索赔。</w:t>
      </w:r>
    </w:p>
    <w:p w14:paraId="38CB64A2">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2.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6191C66">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第十二条  解决争议方式</w:t>
      </w:r>
    </w:p>
    <w:p w14:paraId="74D6CE23">
      <w:pPr>
        <w:spacing w:line="480" w:lineRule="exact"/>
        <w:ind w:firstLine="480" w:firstLineChars="200"/>
        <w:rPr>
          <w:rFonts w:ascii="宋体" w:hAnsi="宋体" w:cs="宋体"/>
          <w:color w:val="auto"/>
          <w:sz w:val="24"/>
          <w:highlight w:val="none"/>
        </w:rPr>
      </w:pPr>
      <w:r>
        <w:rPr>
          <w:rFonts w:hint="eastAsia" w:ascii="宋体" w:hAnsi="宋体" w:cs="宋体"/>
          <w:bCs/>
          <w:color w:val="auto"/>
          <w:sz w:val="24"/>
          <w:highlight w:val="none"/>
        </w:rPr>
        <w:t>合同发生纠纷时，双方应协商解决，协商不成可以采用下列方式解决：</w:t>
      </w:r>
    </w:p>
    <w:p w14:paraId="73F0A15C">
      <w:pPr>
        <w:spacing w:line="48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（1）提交</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仲裁委员会仲裁；（2）向甲方所在地人民法院起诉。</w:t>
      </w:r>
    </w:p>
    <w:p w14:paraId="1BC3058C">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bCs/>
          <w:color w:val="auto"/>
          <w:sz w:val="24"/>
          <w:highlight w:val="none"/>
        </w:rPr>
        <w:t>本合同发生纠纷，经双方协商不能解决时，采用第（2）种方式予以解决。</w:t>
      </w:r>
    </w:p>
    <w:p w14:paraId="02DA0455">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第十三条  不可抗力</w:t>
      </w:r>
    </w:p>
    <w:p w14:paraId="5860577E">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bCs/>
          <w:color w:val="auto"/>
          <w:sz w:val="24"/>
          <w:highlight w:val="none"/>
        </w:rPr>
        <w:t>任何一方由于不可抗力原因不能履行合同时，应在不可抗力事件发生后1日内向对方通报，以减轻可能给对方造成的损失，在取得有关机构的不可抗力证明或双方谅解确认后，允许延期履行或修订合同，并可根据具体情况部分或全部免于承担违约责任。</w:t>
      </w:r>
    </w:p>
    <w:p w14:paraId="5BE44FCD">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第十四条  合同的终止</w:t>
      </w:r>
    </w:p>
    <w:p w14:paraId="373E2694">
      <w:pPr>
        <w:overflowPunct w:val="0"/>
        <w:snapToGrid w:val="0"/>
        <w:spacing w:line="480" w:lineRule="exact"/>
        <w:ind w:firstLine="540" w:firstLineChars="225"/>
        <w:rPr>
          <w:rFonts w:ascii="宋体" w:hAnsi="宋体" w:cs="宋体"/>
          <w:color w:val="auto"/>
          <w:sz w:val="24"/>
          <w:highlight w:val="none"/>
        </w:rPr>
      </w:pPr>
      <w:r>
        <w:rPr>
          <w:rFonts w:hint="eastAsia" w:ascii="宋体" w:hAnsi="宋体" w:cs="宋体"/>
          <w:color w:val="auto"/>
          <w:sz w:val="24"/>
          <w:highlight w:val="none"/>
        </w:rPr>
        <w:t>1.本合同期满，双方未续签合同的；</w:t>
      </w:r>
    </w:p>
    <w:p w14:paraId="4F4EF755">
      <w:pPr>
        <w:overflowPunct w:val="0"/>
        <w:snapToGrid w:val="0"/>
        <w:spacing w:line="480" w:lineRule="exact"/>
        <w:ind w:firstLine="540" w:firstLineChars="225"/>
        <w:rPr>
          <w:rFonts w:ascii="宋体" w:hAnsi="宋体" w:cs="宋体"/>
          <w:color w:val="auto"/>
          <w:sz w:val="24"/>
          <w:highlight w:val="none"/>
        </w:rPr>
      </w:pPr>
      <w:r>
        <w:rPr>
          <w:rFonts w:hint="eastAsia" w:ascii="宋体" w:hAnsi="宋体" w:cs="宋体"/>
          <w:color w:val="auto"/>
          <w:sz w:val="24"/>
          <w:highlight w:val="none"/>
        </w:rPr>
        <w:t>2.乙方服务能力丧失，致使本合同服务无法正常提供的；</w:t>
      </w:r>
    </w:p>
    <w:p w14:paraId="0DCB91BE">
      <w:pPr>
        <w:overflowPunct w:val="0"/>
        <w:snapToGrid w:val="0"/>
        <w:spacing w:line="480" w:lineRule="exact"/>
        <w:ind w:firstLine="540" w:firstLineChars="225"/>
        <w:rPr>
          <w:rFonts w:ascii="宋体" w:hAnsi="宋体" w:cs="宋体"/>
          <w:color w:val="auto"/>
          <w:sz w:val="24"/>
          <w:highlight w:val="none"/>
        </w:rPr>
      </w:pPr>
      <w:r>
        <w:rPr>
          <w:rFonts w:hint="eastAsia" w:ascii="宋体" w:hAnsi="宋体" w:cs="宋体"/>
          <w:color w:val="auto"/>
          <w:sz w:val="24"/>
          <w:highlight w:val="none"/>
        </w:rPr>
        <w:t>3.受国家政策或法律法规变动影响，经双方协商终止本合同的。</w:t>
      </w:r>
    </w:p>
    <w:p w14:paraId="40291B0A">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第十五条  其他</w:t>
      </w:r>
    </w:p>
    <w:p w14:paraId="674F5058">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1.本合同所有附件及相关购买文件均为本合同的有效组成部分，与本合同具有同等法律效力。若合同附件与本合同存在不一致的，则以本合同为准。</w:t>
      </w:r>
    </w:p>
    <w:p w14:paraId="62FF7B45">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bCs/>
          <w:color w:val="auto"/>
          <w:sz w:val="24"/>
          <w:highlight w:val="none"/>
        </w:rPr>
        <w:t>2.在履行本合同过程中，所有经双方签署确认的文件（包括会议纪要、补充协议、往来信函）即成为本合同的有效组成部分。</w:t>
      </w:r>
    </w:p>
    <w:p w14:paraId="3C741424">
      <w:pPr>
        <w:overflowPunct w:val="0"/>
        <w:snapToGrid w:val="0"/>
        <w:spacing w:line="480" w:lineRule="exact"/>
        <w:ind w:firstLine="537" w:firstLineChars="224"/>
        <w:rPr>
          <w:rFonts w:ascii="宋体" w:hAnsi="宋体" w:cs="宋体"/>
          <w:bCs/>
          <w:color w:val="auto"/>
          <w:sz w:val="24"/>
          <w:highlight w:val="none"/>
        </w:rPr>
      </w:pPr>
      <w:r>
        <w:rPr>
          <w:rFonts w:hint="eastAsia" w:ascii="宋体" w:hAnsi="宋体" w:cs="宋体"/>
          <w:bCs/>
          <w:color w:val="auto"/>
          <w:sz w:val="24"/>
          <w:highlight w:val="none"/>
        </w:rPr>
        <w:t>3.如一方地址、电话、传真号码及乙方银行账户信息有变更，应在变更当日书面通知对方，否则，应承担相应责任。</w:t>
      </w:r>
    </w:p>
    <w:p w14:paraId="7039CB2B">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第十六条  补充条款</w:t>
      </w:r>
    </w:p>
    <w:p w14:paraId="34B46E2A">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1.谅解与备忘条款：</w:t>
      </w:r>
    </w:p>
    <w:p w14:paraId="2B1658DF">
      <w:pPr>
        <w:overflowPunct w:val="0"/>
        <w:snapToGrid w:val="0"/>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2.双方不可撤销的责任与义务：</w:t>
      </w:r>
    </w:p>
    <w:p w14:paraId="4DBFC6F2">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3.双方约定以下补充条款：</w:t>
      </w:r>
    </w:p>
    <w:p w14:paraId="4827BDE4">
      <w:pPr>
        <w:overflowPunct w:val="0"/>
        <w:snapToGrid w:val="0"/>
        <w:spacing w:line="480" w:lineRule="exact"/>
        <w:ind w:firstLine="540" w:firstLineChars="224"/>
        <w:rPr>
          <w:rFonts w:ascii="宋体" w:hAnsi="宋体" w:cs="宋体"/>
          <w:b/>
          <w:color w:val="auto"/>
          <w:sz w:val="24"/>
          <w:highlight w:val="none"/>
        </w:rPr>
      </w:pPr>
      <w:r>
        <w:rPr>
          <w:rFonts w:hint="eastAsia" w:ascii="宋体" w:hAnsi="宋体" w:cs="宋体"/>
          <w:b/>
          <w:color w:val="auto"/>
          <w:sz w:val="24"/>
          <w:highlight w:val="none"/>
        </w:rPr>
        <w:t>第十七条  合同生效</w:t>
      </w:r>
    </w:p>
    <w:p w14:paraId="47B3DF2F">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1.本合同订立时间：      年    月    日</w:t>
      </w:r>
    </w:p>
    <w:p w14:paraId="019CECEF">
      <w:pPr>
        <w:overflowPunct w:val="0"/>
        <w:snapToGrid w:val="0"/>
        <w:spacing w:line="480" w:lineRule="exact"/>
        <w:ind w:firstLine="537" w:firstLineChars="224"/>
        <w:jc w:val="left"/>
        <w:rPr>
          <w:rFonts w:ascii="宋体" w:hAnsi="宋体" w:cs="宋体"/>
          <w:color w:val="auto"/>
          <w:sz w:val="24"/>
          <w:highlight w:val="none"/>
        </w:rPr>
      </w:pPr>
      <w:r>
        <w:rPr>
          <w:rFonts w:hint="eastAsia" w:ascii="宋体" w:hAnsi="宋体" w:cs="宋体"/>
          <w:color w:val="auto"/>
          <w:sz w:val="24"/>
          <w:highlight w:val="none"/>
        </w:rPr>
        <w:t>2.本合同订立地点：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BC7297D">
      <w:pPr>
        <w:overflowPunct w:val="0"/>
        <w:snapToGrid w:val="0"/>
        <w:spacing w:line="480" w:lineRule="exact"/>
        <w:ind w:firstLine="537" w:firstLineChars="224"/>
        <w:rPr>
          <w:rFonts w:ascii="宋体" w:hAnsi="宋体" w:cs="宋体"/>
          <w:color w:val="auto"/>
          <w:sz w:val="24"/>
          <w:highlight w:val="none"/>
          <w:u w:val="single"/>
        </w:rPr>
      </w:pPr>
      <w:r>
        <w:rPr>
          <w:rFonts w:hint="eastAsia" w:ascii="宋体" w:hAnsi="宋体" w:cs="宋体"/>
          <w:color w:val="auto"/>
          <w:sz w:val="24"/>
          <w:highlight w:val="none"/>
        </w:rPr>
        <w:t>3.本合同在甲、乙双方法人代表或其授权代表签章之日起生效。</w:t>
      </w:r>
    </w:p>
    <w:p w14:paraId="598DBB6B">
      <w:pPr>
        <w:overflowPunct w:val="0"/>
        <w:snapToGrid w:val="0"/>
        <w:spacing w:line="480" w:lineRule="exact"/>
        <w:ind w:firstLine="537" w:firstLineChars="224"/>
        <w:rPr>
          <w:rFonts w:ascii="宋体" w:hAnsi="宋体" w:cs="宋体"/>
          <w:b/>
          <w:color w:val="auto"/>
          <w:sz w:val="24"/>
          <w:highlight w:val="none"/>
        </w:rPr>
      </w:pPr>
      <w:r>
        <w:rPr>
          <w:rFonts w:hint="eastAsia" w:ascii="宋体" w:hAnsi="宋体" w:cs="宋体"/>
          <w:color w:val="auto"/>
          <w:sz w:val="24"/>
          <w:highlight w:val="none"/>
        </w:rPr>
        <w:t>4.</w:t>
      </w:r>
      <w:r>
        <w:rPr>
          <w:rFonts w:hint="eastAsia"/>
          <w:color w:val="auto"/>
          <w:sz w:val="24"/>
          <w:highlight w:val="none"/>
        </w:rPr>
        <w:t>本合同通过临沂市公共资源交易网在线签订，电子合同双方自行下载保存。</w:t>
      </w:r>
    </w:p>
    <w:p w14:paraId="52E54DA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第十八条  合同附件（若有附件应注明附件名称）</w:t>
      </w:r>
    </w:p>
    <w:p w14:paraId="52D6516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p w14:paraId="4C10F0E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p w14:paraId="35BA85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    方：                             乙    方：</w:t>
      </w:r>
    </w:p>
    <w:p w14:paraId="365BB4A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盖    章                               盖    章</w:t>
      </w:r>
    </w:p>
    <w:p w14:paraId="655E3D9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全权代表：（签字或盖章）                全权代表：（签字或盖章）</w:t>
      </w:r>
    </w:p>
    <w:p w14:paraId="0D55F2A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地    址：</w:t>
      </w:r>
    </w:p>
    <w:p w14:paraId="7694D94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                             邮政编码：</w:t>
      </w:r>
    </w:p>
    <w:p w14:paraId="118536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    话：</w:t>
      </w:r>
    </w:p>
    <w:p w14:paraId="40466D5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开户单位：                             开户单位：</w:t>
      </w:r>
    </w:p>
    <w:p w14:paraId="3585A7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                             开户银行：</w:t>
      </w:r>
    </w:p>
    <w:p w14:paraId="51F00B0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账    号：                             账    号： </w:t>
      </w:r>
    </w:p>
    <w:p w14:paraId="6C2E458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    话：                             电    话 ： </w:t>
      </w:r>
    </w:p>
    <w:p w14:paraId="288B1AAB">
      <w:pPr>
        <w:ind w:firstLine="480" w:firstLineChars="200"/>
        <w:rPr>
          <w:color w:val="auto"/>
        </w:rPr>
      </w:pPr>
      <w:r>
        <w:rPr>
          <w:rFonts w:hint="eastAsia" w:ascii="宋体" w:hAnsi="宋体" w:eastAsia="宋体" w:cs="宋体"/>
          <w:color w:val="auto"/>
          <w:sz w:val="24"/>
          <w:highlight w:val="none"/>
        </w:rPr>
        <w:t>本合同签订时间：202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 xml:space="preserve">年月日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本合同签订时间：202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年月日</w:t>
      </w:r>
    </w:p>
    <w:p w14:paraId="73F56F02"/>
    <w:p w14:paraId="24AEC3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amp;quo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CA1DB">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E643E84">
                          <w:pPr>
                            <w:pStyle w:val="12"/>
                            <w:rPr>
                              <w:rStyle w:val="21"/>
                            </w:rPr>
                          </w:pPr>
                          <w:r>
                            <w:fldChar w:fldCharType="begin"/>
                          </w:r>
                          <w:r>
                            <w:rPr>
                              <w:rStyle w:val="21"/>
                            </w:rPr>
                            <w:instrText xml:space="preserve">PAGE  </w:instrText>
                          </w:r>
                          <w:r>
                            <w:fldChar w:fldCharType="separate"/>
                          </w:r>
                          <w:r>
                            <w:rPr>
                              <w:rStyle w:val="21"/>
                            </w:rPr>
                            <w:t>37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VY7UpNABAACmAwAADgAAAAAAAAABACAAAAAeAQAAZHJz&#10;L2Uyb0RvYy54bWxQSwUGAAAAAAYABgBZAQAAYAUAAAAA&#10;">
              <v:fill on="f" focussize="0,0"/>
              <v:stroke on="f"/>
              <v:imagedata o:title=""/>
              <o:lock v:ext="edit" aspectratio="f"/>
              <v:textbox inset="0mm,0mm,0mm,0mm" style="mso-fit-shape-to-text:t;">
                <w:txbxContent>
                  <w:p w14:paraId="3E643E84">
                    <w:pPr>
                      <w:pStyle w:val="12"/>
                      <w:rPr>
                        <w:rStyle w:val="21"/>
                      </w:rPr>
                    </w:pPr>
                    <w:r>
                      <w:fldChar w:fldCharType="begin"/>
                    </w:r>
                    <w:r>
                      <w:rPr>
                        <w:rStyle w:val="21"/>
                      </w:rPr>
                      <w:instrText xml:space="preserve">PAGE  </w:instrText>
                    </w:r>
                    <w:r>
                      <w:fldChar w:fldCharType="separate"/>
                    </w:r>
                    <w:r>
                      <w:rPr>
                        <w:rStyle w:val="21"/>
                      </w:rPr>
                      <w:t>37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BF1B7">
    <w:pPr>
      <w:pStyle w:val="12"/>
      <w:framePr w:wrap="around" w:vAnchor="text" w:hAnchor="margin" w:xAlign="center" w:y="1"/>
      <w:rPr>
        <w:rStyle w:val="21"/>
      </w:rPr>
    </w:pPr>
    <w:r>
      <w:fldChar w:fldCharType="begin"/>
    </w:r>
    <w:r>
      <w:rPr>
        <w:rStyle w:val="21"/>
      </w:rPr>
      <w:instrText xml:space="preserve">PAGE  </w:instrText>
    </w:r>
    <w:r>
      <w:fldChar w:fldCharType="end"/>
    </w:r>
  </w:p>
  <w:p w14:paraId="1400C86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4D849">
    <w:pPr>
      <w:spacing w:line="126" w:lineRule="exact"/>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CB4D3">
    <w:pPr>
      <w:pStyle w:val="12"/>
      <w:ind w:right="360" w:firstLine="360"/>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1AFC5BB3">
                          <w:pPr>
                            <w:pStyle w:val="12"/>
                            <w:rPr>
                              <w:rStyle w:val="21"/>
                            </w:rPr>
                          </w:pPr>
                          <w:r>
                            <w:fldChar w:fldCharType="begin"/>
                          </w:r>
                          <w:r>
                            <w:rPr>
                              <w:rStyle w:val="21"/>
                            </w:rPr>
                            <w:instrText xml:space="preserve">PAGE  </w:instrText>
                          </w:r>
                          <w:r>
                            <w:fldChar w:fldCharType="separate"/>
                          </w:r>
                          <w:r>
                            <w:rPr>
                              <w:rStyle w:val="21"/>
                            </w:rPr>
                            <w:t>44</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7gvFotABAACmAwAADgAAAAAAAAABACAAAAAeAQAAZHJz&#10;L2Uyb0RvYy54bWxQSwUGAAAAAAYABgBZAQAAYAUAAAAA&#10;">
              <v:fill on="f" focussize="0,0"/>
              <v:stroke on="f"/>
              <v:imagedata o:title=""/>
              <o:lock v:ext="edit" aspectratio="f"/>
              <v:textbox inset="0mm,0mm,0mm,0mm" style="mso-fit-shape-to-text:t;">
                <w:txbxContent>
                  <w:p w14:paraId="1AFC5BB3">
                    <w:pPr>
                      <w:pStyle w:val="12"/>
                      <w:rPr>
                        <w:rStyle w:val="21"/>
                      </w:rPr>
                    </w:pPr>
                    <w:r>
                      <w:fldChar w:fldCharType="begin"/>
                    </w:r>
                    <w:r>
                      <w:rPr>
                        <w:rStyle w:val="21"/>
                      </w:rPr>
                      <w:instrText xml:space="preserve">PAGE  </w:instrText>
                    </w:r>
                    <w:r>
                      <w:fldChar w:fldCharType="separate"/>
                    </w:r>
                    <w:r>
                      <w:rPr>
                        <w:rStyle w:val="21"/>
                      </w:rPr>
                      <w:t>44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04786">
    <w:pPr>
      <w:pStyle w:val="12"/>
      <w:framePr w:wrap="around" w:vAnchor="text" w:hAnchor="margin" w:xAlign="center" w:y="1"/>
      <w:rPr>
        <w:rStyle w:val="21"/>
      </w:rPr>
    </w:pPr>
    <w:r>
      <w:fldChar w:fldCharType="begin"/>
    </w:r>
    <w:r>
      <w:rPr>
        <w:rStyle w:val="21"/>
      </w:rPr>
      <w:instrText xml:space="preserve">PAGE  </w:instrText>
    </w:r>
    <w:r>
      <w:fldChar w:fldCharType="end"/>
    </w:r>
  </w:p>
  <w:p w14:paraId="72F59BEB">
    <w:pPr>
      <w:pStyle w:val="12"/>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54697">
    <w:pPr>
      <w:pStyle w:val="12"/>
      <w:framePr w:wrap="around" w:vAnchor="text" w:hAnchor="margin" w:xAlign="right" w:y="1"/>
      <w:rPr>
        <w:rStyle w:val="21"/>
      </w:rPr>
    </w:pPr>
  </w:p>
  <w:p w14:paraId="08A8A1F7">
    <w:pPr>
      <w:pStyle w:val="12"/>
      <w:ind w:right="360"/>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98D6E">
    <w:pPr>
      <w:spacing w:line="189" w:lineRule="exact"/>
      <w:ind w:firstLine="270"/>
      <w:rPr>
        <w:rFonts w:ascii="仿宋" w:hAnsi="仿宋" w:eastAsia="仿宋" w:cs="仿宋"/>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87C3F5F">
                          <w:pPr>
                            <w:pStyle w:val="12"/>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587C3F5F">
                    <w:pPr>
                      <w:pStyle w:val="12"/>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8CFB1">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890C">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F9B1D"/>
    <w:multiLevelType w:val="singleLevel"/>
    <w:tmpl w:val="9B6F9B1D"/>
    <w:lvl w:ilvl="0" w:tentative="0">
      <w:start w:val="1"/>
      <w:numFmt w:val="decimal"/>
      <w:suff w:val="space"/>
      <w:lvlText w:val="%1."/>
      <w:lvlJc w:val="left"/>
    </w:lvl>
  </w:abstractNum>
  <w:abstractNum w:abstractNumId="1">
    <w:nsid w:val="AD5B98DA"/>
    <w:multiLevelType w:val="singleLevel"/>
    <w:tmpl w:val="AD5B98DA"/>
    <w:lvl w:ilvl="0" w:tentative="0">
      <w:start w:val="2"/>
      <w:numFmt w:val="chineseCounting"/>
      <w:suff w:val="nothing"/>
      <w:lvlText w:val="（%1）"/>
      <w:lvlJc w:val="left"/>
      <w:rPr>
        <w:rFonts w:hint="eastAsia"/>
      </w:rPr>
    </w:lvl>
  </w:abstractNum>
  <w:abstractNum w:abstractNumId="2">
    <w:nsid w:val="D4F06988"/>
    <w:multiLevelType w:val="multilevel"/>
    <w:tmpl w:val="D4F06988"/>
    <w:lvl w:ilvl="0" w:tentative="0">
      <w:start w:val="18"/>
      <w:numFmt w:val="decimal"/>
      <w:lvlText w:val="%1."/>
      <w:lvlJc w:val="left"/>
    </w:lvl>
    <w:lvl w:ilvl="1" w:tentative="0">
      <w:start w:val="1"/>
      <w:numFmt w:val="decimal"/>
      <w:lvlText w:val="%1.%2"/>
      <w:lvlJc w:val="left"/>
      <w:pPr>
        <w:tabs>
          <w:tab w:val="left" w:pos="454"/>
        </w:tabs>
        <w:ind w:left="142"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3">
    <w:nsid w:val="58203DDE"/>
    <w:multiLevelType w:val="singleLevel"/>
    <w:tmpl w:val="58203DDE"/>
    <w:lvl w:ilvl="0" w:tentative="0">
      <w:start w:val="2"/>
      <w:numFmt w:val="decimal"/>
      <w:suff w:val="nothing"/>
      <w:lvlText w:val="%1."/>
      <w:lvlJc w:val="left"/>
    </w:lvl>
  </w:abstractNum>
  <w:abstractNum w:abstractNumId="4">
    <w:nsid w:val="5D845426"/>
    <w:multiLevelType w:val="singleLevel"/>
    <w:tmpl w:val="5D845426"/>
    <w:lvl w:ilvl="0" w:tentative="0">
      <w:start w:val="6"/>
      <w:numFmt w:val="chineseCounting"/>
      <w:suff w:val="space"/>
      <w:lvlText w:val="第%1条"/>
      <w:lvlJc w:val="left"/>
    </w:lvl>
  </w:abstractNum>
  <w:abstractNum w:abstractNumId="5">
    <w:nsid w:val="66E4770E"/>
    <w:multiLevelType w:val="multilevel"/>
    <w:tmpl w:val="66E4770E"/>
    <w:lvl w:ilvl="0" w:tentative="0">
      <w:start w:val="1"/>
      <w:numFmt w:val="decimal"/>
      <w:lvlText w:val="第%1章"/>
      <w:lvlJc w:val="left"/>
      <w:pPr>
        <w:tabs>
          <w:tab w:val="left" w:pos="1680"/>
        </w:tabs>
        <w:ind w:left="1680" w:hanging="1140"/>
      </w:pPr>
      <w:rPr>
        <w:rFonts w:hint="eastAsia"/>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6">
    <w:nsid w:val="751C1290"/>
    <w:multiLevelType w:val="singleLevel"/>
    <w:tmpl w:val="751C1290"/>
    <w:lvl w:ilvl="0" w:tentative="0">
      <w:start w:val="1"/>
      <w:numFmt w:val="chineseCounting"/>
      <w:suff w:val="nothing"/>
      <w:lvlText w:val="%1、"/>
      <w:lvlJc w:val="left"/>
      <w:rPr>
        <w:rFonts w:hint="eastAsia"/>
      </w:rPr>
    </w:lvl>
  </w:abstractNum>
  <w:num w:numId="1">
    <w:abstractNumId w:val="5"/>
  </w:num>
  <w:num w:numId="2">
    <w:abstractNumId w:val="2"/>
  </w:num>
  <w:num w:numId="3">
    <w:abstractNumId w:val="6"/>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1N2E4MjMxMzJlMzk4ZjMxYjBiNmYzZWU4M2Y1NjYifQ=="/>
  </w:docVars>
  <w:rsids>
    <w:rsidRoot w:val="61061073"/>
    <w:rsid w:val="02355D3F"/>
    <w:rsid w:val="0B470389"/>
    <w:rsid w:val="0BDB5D56"/>
    <w:rsid w:val="0BF56EA9"/>
    <w:rsid w:val="0F705C6D"/>
    <w:rsid w:val="12DB3BBB"/>
    <w:rsid w:val="1CAC44F0"/>
    <w:rsid w:val="1EE30E5D"/>
    <w:rsid w:val="25110FAF"/>
    <w:rsid w:val="275C35AD"/>
    <w:rsid w:val="2C232D84"/>
    <w:rsid w:val="2FDA2C38"/>
    <w:rsid w:val="31F15807"/>
    <w:rsid w:val="32A55811"/>
    <w:rsid w:val="339E59F9"/>
    <w:rsid w:val="36005625"/>
    <w:rsid w:val="4040751D"/>
    <w:rsid w:val="4A98306A"/>
    <w:rsid w:val="4BAA4534"/>
    <w:rsid w:val="4ED8238B"/>
    <w:rsid w:val="50373AF5"/>
    <w:rsid w:val="522F3570"/>
    <w:rsid w:val="539C6216"/>
    <w:rsid w:val="5A020DC1"/>
    <w:rsid w:val="5A1D3D5C"/>
    <w:rsid w:val="5D743C61"/>
    <w:rsid w:val="61061073"/>
    <w:rsid w:val="62D37E3E"/>
    <w:rsid w:val="669B3E2B"/>
    <w:rsid w:val="689E7BB2"/>
    <w:rsid w:val="6D4B55C0"/>
    <w:rsid w:val="6DD10E2E"/>
    <w:rsid w:val="712B33AC"/>
    <w:rsid w:val="71FF5BBF"/>
    <w:rsid w:val="762250D5"/>
    <w:rsid w:val="7CFA3CB1"/>
    <w:rsid w:val="7EE55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qFormat="1"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hAnsi="Times New Roman"/>
      <w:b/>
      <w:kern w:val="44"/>
      <w:sz w:val="32"/>
      <w:szCs w:val="20"/>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7"/>
    <w:basedOn w:val="1"/>
    <w:next w:val="1"/>
    <w:qFormat/>
    <w:uiPriority w:val="0"/>
    <w:pPr>
      <w:keepNext/>
      <w:keepLines/>
      <w:tabs>
        <w:tab w:val="left" w:pos="1296"/>
      </w:tabs>
      <w:adjustRightInd w:val="0"/>
      <w:spacing w:before="240" w:beforeAutospacing="0" w:after="64" w:afterAutospacing="0" w:line="320" w:lineRule="atLeast"/>
      <w:ind w:left="1296" w:hanging="1296"/>
      <w:textAlignment w:val="baseline"/>
      <w:outlineLvl w:val="6"/>
    </w:pPr>
    <w:rPr>
      <w:b/>
      <w:kern w:val="0"/>
      <w:sz w:val="24"/>
    </w:rPr>
  </w:style>
  <w:style w:type="character" w:default="1" w:styleId="20">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qFormat/>
    <w:uiPriority w:val="0"/>
    <w:pPr>
      <w:tabs>
        <w:tab w:val="left" w:pos="567"/>
      </w:tabs>
      <w:spacing w:before="120" w:line="22" w:lineRule="atLeast"/>
    </w:pPr>
    <w:rPr>
      <w:rFonts w:ascii="宋体" w:hAnsi="宋体"/>
      <w:sz w:val="24"/>
    </w:rPr>
  </w:style>
  <w:style w:type="paragraph" w:styleId="8">
    <w:name w:val="Body Text Indent"/>
    <w:basedOn w:val="1"/>
    <w:next w:val="9"/>
    <w:qFormat/>
    <w:uiPriority w:val="0"/>
    <w:pPr>
      <w:spacing w:line="360" w:lineRule="auto"/>
      <w:ind w:firstLine="570"/>
    </w:pPr>
    <w:rPr>
      <w:sz w:val="24"/>
    </w:rPr>
  </w:style>
  <w:style w:type="paragraph" w:styleId="9">
    <w:name w:val="toc 9"/>
    <w:basedOn w:val="1"/>
    <w:next w:val="1"/>
    <w:unhideWhenUsed/>
    <w:qFormat/>
    <w:uiPriority w:val="39"/>
    <w:pPr>
      <w:ind w:left="3360" w:leftChars="1600"/>
    </w:pPr>
    <w:rPr>
      <w:rFonts w:ascii="Calibri" w:hAnsi="Calibri" w:eastAsia="宋体" w:cs="Times New Roman"/>
      <w:szCs w:val="22"/>
    </w:rPr>
  </w:style>
  <w:style w:type="paragraph" w:styleId="10">
    <w:name w:val="index 4"/>
    <w:basedOn w:val="1"/>
    <w:next w:val="1"/>
    <w:qFormat/>
    <w:uiPriority w:val="99"/>
    <w:pPr>
      <w:ind w:left="600" w:leftChars="600"/>
    </w:pPr>
  </w:style>
  <w:style w:type="paragraph" w:styleId="11">
    <w:name w:val="Plain Text"/>
    <w:basedOn w:val="1"/>
    <w:qFormat/>
    <w:uiPriority w:val="0"/>
    <w:rPr>
      <w:rFonts w:ascii="宋体" w:hAnsi="Courier New"/>
      <w:szCs w:val="20"/>
    </w:rPr>
  </w:style>
  <w:style w:type="paragraph" w:styleId="12">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6"/>
    <w:basedOn w:val="1"/>
    <w:next w:val="1"/>
    <w:unhideWhenUsed/>
    <w:qFormat/>
    <w:uiPriority w:val="39"/>
    <w:pPr>
      <w:ind w:left="2100" w:leftChars="1000"/>
    </w:pPr>
    <w:rPr>
      <w:rFonts w:ascii="Calibri" w:hAnsi="Calibri" w:eastAsia="宋体" w:cs="Times New Roman"/>
      <w:szCs w:val="22"/>
    </w:r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w:basedOn w:val="7"/>
    <w:next w:val="15"/>
    <w:qFormat/>
    <w:uiPriority w:val="0"/>
    <w:pPr>
      <w:ind w:firstLine="420" w:firstLineChars="100"/>
    </w:pPr>
  </w:style>
  <w:style w:type="paragraph" w:styleId="18">
    <w:name w:val="Body Text First Indent 2"/>
    <w:basedOn w:val="8"/>
    <w:next w:val="17"/>
    <w:qFormat/>
    <w:uiPriority w:val="0"/>
    <w:pPr>
      <w:spacing w:after="120" w:afterLines="0" w:line="240" w:lineRule="auto"/>
      <w:ind w:left="420" w:leftChars="200" w:firstLine="420"/>
    </w:pPr>
    <w:rPr>
      <w:sz w:val="21"/>
    </w:rPr>
  </w:style>
  <w:style w:type="character" w:styleId="21">
    <w:name w:val="page number"/>
    <w:basedOn w:val="20"/>
    <w:qFormat/>
    <w:uiPriority w:val="0"/>
  </w:style>
  <w:style w:type="character" w:styleId="22">
    <w:name w:val="Hyperlink"/>
    <w:basedOn w:val="20"/>
    <w:qFormat/>
    <w:uiPriority w:val="99"/>
    <w:rPr>
      <w:color w:val="333333"/>
      <w:u w:val="none"/>
    </w:rPr>
  </w:style>
  <w:style w:type="paragraph" w:customStyle="1" w:styleId="23">
    <w:name w:val="列出段落1"/>
    <w:basedOn w:val="1"/>
    <w:next w:val="1"/>
    <w:autoRedefine/>
    <w:unhideWhenUsed/>
    <w:qFormat/>
    <w:uiPriority w:val="99"/>
    <w:pPr>
      <w:ind w:firstLine="420" w:firstLineChars="200"/>
    </w:pPr>
  </w:style>
  <w:style w:type="character" w:customStyle="1" w:styleId="24">
    <w:name w:val="fontstyle01"/>
    <w:autoRedefine/>
    <w:qFormat/>
    <w:uiPriority w:val="0"/>
    <w:rPr>
      <w:rFonts w:hint="eastAsia" w:ascii="宋体" w:hAnsi="宋体" w:eastAsia="宋体"/>
      <w:color w:val="000000"/>
      <w:sz w:val="22"/>
      <w:szCs w:val="22"/>
    </w:rPr>
  </w:style>
  <w:style w:type="paragraph" w:styleId="25">
    <w:name w:val="List Paragraph"/>
    <w:basedOn w:val="1"/>
    <w:next w:val="1"/>
    <w:autoRedefine/>
    <w:qFormat/>
    <w:uiPriority w:val="34"/>
    <w:pPr>
      <w:widowControl/>
      <w:ind w:firstLine="420" w:firstLineChars="200"/>
      <w:jc w:val="left"/>
    </w:pPr>
    <w:rPr>
      <w:kern w:val="0"/>
      <w:sz w:val="24"/>
    </w:rPr>
  </w:style>
  <w:style w:type="paragraph" w:customStyle="1" w:styleId="26">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27">
    <w:name w:val="Table Normal"/>
    <w:autoRedefine/>
    <w:unhideWhenUsed/>
    <w:qFormat/>
    <w:uiPriority w:val="0"/>
    <w:tblPr>
      <w:tblCellMar>
        <w:top w:w="0" w:type="dxa"/>
        <w:left w:w="0" w:type="dxa"/>
        <w:bottom w:w="0" w:type="dxa"/>
        <w:right w:w="0" w:type="dxa"/>
      </w:tblCellMar>
    </w:tblPr>
  </w:style>
  <w:style w:type="paragraph" w:customStyle="1" w:styleId="28">
    <w:name w:val="Table Paragraph"/>
    <w:basedOn w:val="1"/>
    <w:autoRedefine/>
    <w:qFormat/>
    <w:uiPriority w:val="1"/>
    <w:rPr>
      <w:rFonts w:ascii="宋体" w:hAnsi="宋体" w:eastAsia="宋体" w:cs="宋体"/>
      <w:lang w:val="zh-CN" w:eastAsia="zh-CN" w:bidi="zh-CN"/>
    </w:rPr>
  </w:style>
  <w:style w:type="paragraph" w:customStyle="1" w:styleId="29">
    <w:name w:val="列表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34938</Words>
  <Characters>37346</Characters>
  <Lines>0</Lines>
  <Paragraphs>0</Paragraphs>
  <TotalTime>20</TotalTime>
  <ScaleCrop>false</ScaleCrop>
  <LinksUpToDate>false</LinksUpToDate>
  <CharactersWithSpaces>38568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2024-09-24T08:39:00Z</dcterms:created>
  <dc:creator>临沂华屹工程项目管理咨询有限公司</dc:creator>
  <cp:lastModifiedBy>田静</cp:lastModifiedBy>
  <dcterms:modified xsi:type="dcterms:W3CDTF">2024-10-12T06:01:50Z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27964EE1EF5F41918874A811B0B6D238_13</vt:lpwstr>
  </property>
</Properties>
</file>