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ascii="黑体" w:hAnsi="黑体" w:eastAsia="黑体" w:cs="黑体"/>
          <w:b/>
          <w:bCs/>
          <w:sz w:val="32"/>
          <w:szCs w:val="28"/>
        </w:rPr>
      </w:pPr>
      <w:r>
        <w:rPr>
          <w:rFonts w:hint="eastAsia" w:ascii="黑体" w:hAnsi="黑体" w:eastAsia="黑体" w:cs="黑体"/>
          <w:b/>
          <w:bCs/>
          <w:sz w:val="30"/>
          <w:szCs w:val="30"/>
          <w:lang w:val="en-US" w:eastAsia="zh-CN"/>
        </w:rPr>
        <w:t>一、</w:t>
      </w:r>
      <w:r>
        <w:rPr>
          <w:rFonts w:hint="eastAsia" w:ascii="黑体" w:hAnsi="黑体" w:eastAsia="黑体" w:cs="黑体"/>
          <w:b/>
          <w:bCs/>
          <w:sz w:val="30"/>
          <w:szCs w:val="30"/>
        </w:rPr>
        <w:t>项目</w:t>
      </w:r>
      <w:r>
        <w:rPr>
          <w:rFonts w:hint="eastAsia" w:ascii="黑体" w:hAnsi="黑体" w:eastAsia="黑体" w:cs="黑体"/>
          <w:b/>
          <w:bCs/>
          <w:sz w:val="30"/>
          <w:szCs w:val="30"/>
          <w:lang w:val="en-US" w:eastAsia="zh-CN"/>
        </w:rPr>
        <w:t>名称</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莒南县财政局资产管理系统采购</w:t>
      </w:r>
    </w:p>
    <w:p>
      <w:pPr>
        <w:numPr>
          <w:ilvl w:val="0"/>
          <w:numId w:val="0"/>
        </w:numPr>
        <w:rPr>
          <w:rFonts w:ascii="黑体" w:hAnsi="黑体" w:eastAsia="黑体" w:cs="黑体"/>
          <w:b/>
          <w:bCs/>
          <w:sz w:val="32"/>
          <w:szCs w:val="28"/>
        </w:rPr>
      </w:pPr>
      <w:r>
        <w:rPr>
          <w:rFonts w:hint="eastAsia" w:ascii="黑体" w:hAnsi="黑体" w:eastAsia="黑体" w:cs="黑体"/>
          <w:b/>
          <w:bCs/>
          <w:sz w:val="30"/>
          <w:szCs w:val="30"/>
          <w:lang w:val="en-US" w:eastAsia="zh-CN"/>
        </w:rPr>
        <w:t>二、</w:t>
      </w:r>
      <w:r>
        <w:rPr>
          <w:rFonts w:hint="eastAsia" w:ascii="黑体" w:hAnsi="黑体" w:eastAsia="黑体" w:cs="黑体"/>
          <w:b/>
          <w:bCs/>
          <w:sz w:val="30"/>
          <w:szCs w:val="30"/>
        </w:rPr>
        <w:t>项目背景与目标</w:t>
      </w:r>
      <w:bookmarkStart w:id="0" w:name="_GoBack"/>
      <w:bookmarkEnd w:id="0"/>
    </w:p>
    <w:p>
      <w:pPr>
        <w:ind w:firstLine="560" w:firstLineChars="200"/>
        <w:rPr>
          <w:rFonts w:ascii="仿宋" w:hAnsi="仿宋" w:eastAsia="仿宋" w:cs="仿宋"/>
          <w:sz w:val="28"/>
          <w:szCs w:val="28"/>
        </w:rPr>
      </w:pPr>
      <w:r>
        <w:rPr>
          <w:rFonts w:hint="eastAsia" w:ascii="仿宋" w:hAnsi="仿宋" w:eastAsia="仿宋" w:cs="仿宋"/>
          <w:sz w:val="28"/>
          <w:szCs w:val="28"/>
        </w:rPr>
        <w:t>为适应新形势下资产管理的需要,进一步规范和加强</w:t>
      </w:r>
      <w:r>
        <w:rPr>
          <w:rFonts w:hint="eastAsia" w:ascii="仿宋" w:hAnsi="仿宋" w:eastAsia="仿宋" w:cs="仿宋"/>
          <w:sz w:val="28"/>
          <w:szCs w:val="28"/>
          <w:lang w:val="en-US" w:eastAsia="zh-CN"/>
        </w:rPr>
        <w:t>全县</w:t>
      </w:r>
      <w:r>
        <w:rPr>
          <w:rFonts w:hint="eastAsia" w:ascii="仿宋" w:hAnsi="仿宋" w:eastAsia="仿宋" w:cs="仿宋"/>
          <w:sz w:val="28"/>
          <w:szCs w:val="28"/>
        </w:rPr>
        <w:t>行政事业单位资产管理，</w:t>
      </w:r>
      <w:r>
        <w:rPr>
          <w:rFonts w:hint="eastAsia" w:ascii="仿宋" w:hAnsi="仿宋" w:eastAsia="仿宋" w:cs="仿宋"/>
          <w:sz w:val="28"/>
          <w:szCs w:val="28"/>
          <w:lang w:val="en-US" w:eastAsia="zh-CN"/>
        </w:rPr>
        <w:t>按照县</w:t>
      </w:r>
      <w:r>
        <w:rPr>
          <w:rFonts w:hint="eastAsia" w:ascii="仿宋" w:hAnsi="仿宋" w:eastAsia="仿宋" w:cs="仿宋"/>
          <w:sz w:val="28"/>
          <w:szCs w:val="28"/>
        </w:rPr>
        <w:t>人大对国有资产管理改革</w:t>
      </w:r>
      <w:r>
        <w:rPr>
          <w:rFonts w:hint="eastAsia" w:ascii="仿宋" w:hAnsi="仿宋" w:eastAsia="仿宋" w:cs="仿宋"/>
          <w:sz w:val="28"/>
          <w:szCs w:val="28"/>
          <w:lang w:val="en-US" w:eastAsia="zh-CN"/>
        </w:rPr>
        <w:t>发展</w:t>
      </w:r>
      <w:r>
        <w:rPr>
          <w:rFonts w:hint="eastAsia" w:ascii="仿宋" w:hAnsi="仿宋" w:eastAsia="仿宋" w:cs="仿宋"/>
          <w:sz w:val="28"/>
          <w:szCs w:val="28"/>
        </w:rPr>
        <w:t>以及</w:t>
      </w:r>
      <w:r>
        <w:rPr>
          <w:rFonts w:hint="eastAsia" w:ascii="仿宋" w:hAnsi="仿宋" w:eastAsia="仿宋" w:cs="仿宋"/>
          <w:sz w:val="28"/>
          <w:szCs w:val="28"/>
          <w:lang w:val="en-US" w:eastAsia="zh-CN"/>
        </w:rPr>
        <w:t>县</w:t>
      </w:r>
      <w:r>
        <w:rPr>
          <w:rFonts w:hint="eastAsia" w:ascii="仿宋" w:hAnsi="仿宋" w:eastAsia="仿宋" w:cs="仿宋"/>
          <w:sz w:val="28"/>
          <w:szCs w:val="28"/>
        </w:rPr>
        <w:t>财政在资产监督管理</w:t>
      </w:r>
      <w:r>
        <w:rPr>
          <w:rFonts w:hint="eastAsia" w:ascii="仿宋" w:hAnsi="仿宋" w:eastAsia="仿宋" w:cs="仿宋"/>
          <w:sz w:val="28"/>
          <w:szCs w:val="28"/>
          <w:lang w:val="en-US" w:eastAsia="zh-CN"/>
        </w:rPr>
        <w:t>方面</w:t>
      </w:r>
      <w:r>
        <w:rPr>
          <w:rFonts w:hint="eastAsia" w:ascii="仿宋" w:hAnsi="仿宋" w:eastAsia="仿宋" w:cs="仿宋"/>
          <w:sz w:val="28"/>
          <w:szCs w:val="28"/>
        </w:rPr>
        <w:t>的工作</w:t>
      </w:r>
      <w:r>
        <w:rPr>
          <w:rFonts w:hint="eastAsia" w:ascii="仿宋" w:hAnsi="仿宋" w:eastAsia="仿宋" w:cs="仿宋"/>
          <w:sz w:val="28"/>
          <w:szCs w:val="28"/>
          <w:lang w:val="en-US" w:eastAsia="zh-CN"/>
        </w:rPr>
        <w:t>要求</w:t>
      </w:r>
      <w:r>
        <w:rPr>
          <w:rFonts w:hint="eastAsia" w:ascii="仿宋" w:hAnsi="仿宋" w:eastAsia="仿宋" w:cs="仿宋"/>
          <w:sz w:val="28"/>
          <w:szCs w:val="28"/>
        </w:rPr>
        <w:t>。</w:t>
      </w:r>
      <w:r>
        <w:rPr>
          <w:rFonts w:hint="eastAsia" w:ascii="仿宋" w:hAnsi="仿宋" w:eastAsia="仿宋" w:cs="仿宋"/>
          <w:sz w:val="28"/>
          <w:szCs w:val="28"/>
          <w:lang w:val="en-US" w:eastAsia="zh-CN"/>
        </w:rPr>
        <w:t>针</w:t>
      </w:r>
      <w:r>
        <w:rPr>
          <w:rFonts w:hint="eastAsia" w:ascii="仿宋" w:hAnsi="仿宋" w:eastAsia="仿宋" w:cs="仿宋"/>
          <w:sz w:val="28"/>
          <w:szCs w:val="28"/>
        </w:rPr>
        <w:t>对以往</w:t>
      </w:r>
      <w:r>
        <w:rPr>
          <w:rFonts w:hint="eastAsia" w:ascii="仿宋" w:hAnsi="仿宋" w:eastAsia="仿宋" w:cs="仿宋"/>
          <w:sz w:val="28"/>
          <w:szCs w:val="28"/>
          <w:lang w:val="en-US" w:eastAsia="zh-CN"/>
        </w:rPr>
        <w:t>莒南县</w:t>
      </w:r>
      <w:r>
        <w:rPr>
          <w:rFonts w:hint="eastAsia" w:ascii="仿宋" w:hAnsi="仿宋" w:eastAsia="仿宋" w:cs="仿宋"/>
          <w:sz w:val="28"/>
          <w:szCs w:val="28"/>
        </w:rPr>
        <w:t>资产管理模式以及资产管理存在的突出问题，在</w:t>
      </w:r>
      <w:r>
        <w:rPr>
          <w:rFonts w:hint="eastAsia" w:ascii="仿宋" w:hAnsi="仿宋" w:eastAsia="仿宋" w:cs="仿宋"/>
          <w:sz w:val="28"/>
          <w:szCs w:val="28"/>
          <w:lang w:val="en-US" w:eastAsia="zh-CN"/>
        </w:rPr>
        <w:t>莒南县</w:t>
      </w:r>
      <w:r>
        <w:rPr>
          <w:rFonts w:hint="eastAsia" w:ascii="仿宋" w:hAnsi="仿宋" w:eastAsia="仿宋" w:cs="仿宋"/>
          <w:sz w:val="28"/>
          <w:szCs w:val="28"/>
        </w:rPr>
        <w:t>财政局相关各级领导的重视下，提出资产运行管理新机制，利用信息化手段做到精细化管理并监督。</w:t>
      </w:r>
    </w:p>
    <w:p>
      <w:pPr>
        <w:rPr>
          <w:rFonts w:ascii="黑体" w:hAnsi="黑体" w:eastAsia="黑体" w:cs="黑体"/>
          <w:b/>
          <w:bCs/>
          <w:sz w:val="30"/>
          <w:szCs w:val="30"/>
        </w:rPr>
      </w:pPr>
      <w:r>
        <w:rPr>
          <w:rFonts w:hint="eastAsia" w:ascii="黑体" w:hAnsi="黑体" w:eastAsia="黑体" w:cs="黑体"/>
          <w:b/>
          <w:bCs/>
          <w:sz w:val="30"/>
          <w:szCs w:val="30"/>
          <w:lang w:val="en-US" w:eastAsia="zh-CN"/>
        </w:rPr>
        <w:t>三</w:t>
      </w:r>
      <w:r>
        <w:rPr>
          <w:rFonts w:hint="eastAsia" w:ascii="黑体" w:hAnsi="黑体" w:eastAsia="黑体" w:cs="黑体"/>
          <w:b/>
          <w:bCs/>
          <w:sz w:val="30"/>
          <w:szCs w:val="30"/>
        </w:rPr>
        <w:t>、项目建设需求</w:t>
      </w:r>
    </w:p>
    <w:p>
      <w:pPr>
        <w:pStyle w:val="8"/>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此次系统升级需要把当前资产系统建设为全县资产动态监管的平台，需要包含以下几个方面：</w:t>
      </w:r>
    </w:p>
    <w:p>
      <w:pPr>
        <w:pStyle w:val="8"/>
        <w:rPr>
          <w:rFonts w:ascii="仿宋" w:hAnsi="仿宋" w:eastAsia="仿宋" w:cs="仿宋"/>
          <w:sz w:val="28"/>
          <w:szCs w:val="28"/>
        </w:rPr>
      </w:pPr>
      <w:r>
        <w:rPr>
          <w:rFonts w:hint="eastAsia" w:ascii="仿宋" w:hAnsi="仿宋" w:eastAsia="仿宋" w:cs="仿宋"/>
          <w:sz w:val="28"/>
          <w:szCs w:val="28"/>
        </w:rPr>
        <w:t>1、公物仓系统</w:t>
      </w:r>
    </w:p>
    <w:p>
      <w:pPr>
        <w:ind w:firstLine="560" w:firstLineChars="200"/>
        <w:rPr>
          <w:rFonts w:ascii="仿宋" w:hAnsi="仿宋" w:eastAsia="仿宋" w:cs="仿宋"/>
          <w:sz w:val="28"/>
          <w:szCs w:val="28"/>
        </w:rPr>
      </w:pPr>
      <w:r>
        <w:rPr>
          <w:rFonts w:hint="eastAsia" w:ascii="仿宋" w:hAnsi="仿宋" w:eastAsia="仿宋" w:cs="仿宋"/>
          <w:sz w:val="28"/>
          <w:szCs w:val="28"/>
        </w:rPr>
        <w:t>系统</w:t>
      </w:r>
      <w:r>
        <w:rPr>
          <w:rFonts w:hint="eastAsia" w:ascii="仿宋" w:hAnsi="仿宋" w:eastAsia="仿宋" w:cs="仿宋"/>
          <w:sz w:val="28"/>
          <w:szCs w:val="28"/>
          <w:lang w:val="en-US" w:eastAsia="zh-CN"/>
        </w:rPr>
        <w:t>需要能</w:t>
      </w:r>
      <w:r>
        <w:rPr>
          <w:rFonts w:hint="eastAsia" w:ascii="仿宋" w:hAnsi="仿宋" w:eastAsia="仿宋" w:cs="仿宋"/>
          <w:sz w:val="28"/>
          <w:szCs w:val="28"/>
        </w:rPr>
        <w:t>有效的实现对各类国有资产进行统一管理、统一调配和统一处置，单位申请购置资产，凡公物仓内备有的物资，将从公物仓优先调拨给各单位使用。各部门、单位确因工作需要必须购置的资产，原则上通过财政公物仓调剂解决，如果公物仓没有合适的资产可供调剂，在落实财政经费的前提下，由部门、单位通过政府采购渠道进行购置。</w:t>
      </w:r>
    </w:p>
    <w:p>
      <w:pPr>
        <w:pStyle w:val="8"/>
        <w:rPr>
          <w:rFonts w:ascii="仿宋" w:hAnsi="仿宋" w:eastAsia="仿宋" w:cs="仿宋"/>
          <w:sz w:val="28"/>
          <w:szCs w:val="28"/>
        </w:rPr>
      </w:pPr>
      <w:r>
        <w:rPr>
          <w:rFonts w:hint="eastAsia" w:ascii="仿宋" w:hAnsi="仿宋" w:eastAsia="仿宋" w:cs="仿宋"/>
          <w:sz w:val="28"/>
          <w:szCs w:val="28"/>
        </w:rPr>
        <w:t>2、配置预算系统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系统</w:t>
      </w:r>
      <w:r>
        <w:rPr>
          <w:rFonts w:hint="eastAsia" w:ascii="仿宋" w:hAnsi="仿宋" w:eastAsia="仿宋" w:cs="仿宋"/>
          <w:sz w:val="28"/>
          <w:szCs w:val="28"/>
          <w:lang w:val="en-US" w:eastAsia="zh-CN"/>
        </w:rPr>
        <w:t>需要</w:t>
      </w:r>
      <w:r>
        <w:rPr>
          <w:rFonts w:hint="eastAsia" w:ascii="仿宋" w:hAnsi="仿宋" w:eastAsia="仿宋" w:cs="仿宋"/>
          <w:kern w:val="0"/>
          <w:sz w:val="28"/>
          <w:szCs w:val="28"/>
        </w:rPr>
        <w:t>支持配置标准的制定和维护，财政单位可根据情况适时调整配置标准，基层单位可实时查看标准的内容要求。</w:t>
      </w:r>
      <w:r>
        <w:rPr>
          <w:rFonts w:hint="eastAsia" w:ascii="仿宋" w:hAnsi="仿宋" w:eastAsia="仿宋" w:cs="仿宋"/>
          <w:sz w:val="28"/>
          <w:szCs w:val="28"/>
        </w:rPr>
        <w:t>配置标准为财政审核批复单位申报提供参照。通过查询可了解申请单位目前此类资产的存量情况，目前此类资产中是否存在闲置未使用的资产，以及此类资产是否存在配置超标的现象。根据各财政单位内部编配标准进行科学的投入产出分析，力求设计反映实际需求，在设计上寻求最佳的性能价格比。</w:t>
      </w:r>
    </w:p>
    <w:p>
      <w:pPr>
        <w:pStyle w:val="8"/>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绩效评价系统</w:t>
      </w:r>
    </w:p>
    <w:p>
      <w:pPr>
        <w:ind w:firstLine="560" w:firstLineChars="200"/>
        <w:rPr>
          <w:rFonts w:hint="default" w:ascii="仿宋" w:hAnsi="仿宋" w:eastAsia="仿宋" w:cs="仿宋"/>
          <w:b w:val="0"/>
          <w:sz w:val="28"/>
          <w:szCs w:val="28"/>
          <w:lang w:val="en-US" w:eastAsia="zh-CN"/>
        </w:rPr>
      </w:pPr>
      <w:r>
        <w:rPr>
          <w:rFonts w:hint="eastAsia" w:ascii="仿宋" w:hAnsi="仿宋" w:eastAsia="仿宋" w:cs="仿宋"/>
          <w:b w:val="0"/>
          <w:sz w:val="28"/>
          <w:szCs w:val="28"/>
        </w:rPr>
        <w:t>针对全</w:t>
      </w:r>
      <w:r>
        <w:rPr>
          <w:rFonts w:hint="eastAsia" w:ascii="仿宋" w:hAnsi="仿宋" w:eastAsia="仿宋" w:cs="仿宋"/>
          <w:b w:val="0"/>
          <w:sz w:val="28"/>
          <w:szCs w:val="28"/>
          <w:lang w:val="en-US" w:eastAsia="zh-CN"/>
        </w:rPr>
        <w:t>县行政事业</w:t>
      </w:r>
      <w:r>
        <w:rPr>
          <w:rFonts w:hint="eastAsia" w:ascii="仿宋" w:hAnsi="仿宋" w:eastAsia="仿宋" w:cs="仿宋"/>
          <w:b w:val="0"/>
          <w:sz w:val="28"/>
          <w:szCs w:val="28"/>
        </w:rPr>
        <w:t>单位资产</w:t>
      </w:r>
      <w:r>
        <w:rPr>
          <w:rFonts w:hint="eastAsia" w:ascii="仿宋" w:hAnsi="仿宋" w:eastAsia="仿宋" w:cs="仿宋"/>
          <w:b w:val="0"/>
          <w:sz w:val="28"/>
          <w:szCs w:val="28"/>
          <w:lang w:val="en-US" w:eastAsia="zh-CN"/>
        </w:rPr>
        <w:t>管理进行绩效评价，</w:t>
      </w:r>
      <w:r>
        <w:rPr>
          <w:rFonts w:hint="eastAsia" w:ascii="仿宋" w:hAnsi="仿宋" w:eastAsia="仿宋" w:cs="仿宋"/>
          <w:b w:val="0"/>
          <w:sz w:val="28"/>
          <w:szCs w:val="28"/>
        </w:rPr>
        <w:t>主要用于各相关人员对资产管理工作的自评考核和互评考核，以及考核结果汇总</w:t>
      </w:r>
      <w:r>
        <w:rPr>
          <w:rFonts w:hint="eastAsia" w:ascii="仿宋" w:hAnsi="仿宋" w:eastAsia="仿宋" w:cs="仿宋"/>
          <w:b w:val="0"/>
          <w:sz w:val="28"/>
          <w:szCs w:val="28"/>
          <w:lang w:eastAsia="zh-CN"/>
        </w:rPr>
        <w:t>，</w:t>
      </w:r>
      <w:r>
        <w:rPr>
          <w:rFonts w:hint="eastAsia" w:ascii="仿宋" w:hAnsi="仿宋" w:eastAsia="仿宋" w:cs="仿宋"/>
          <w:b w:val="0"/>
          <w:sz w:val="28"/>
          <w:szCs w:val="28"/>
          <w:lang w:val="en-US" w:eastAsia="zh-CN"/>
        </w:rPr>
        <w:t>促进资产管理工作争优创先，提高资产管理积极性。</w:t>
      </w:r>
    </w:p>
    <w:p>
      <w:pPr>
        <w:pStyle w:val="8"/>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、公共基础设施系统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系统</w:t>
      </w:r>
      <w:r>
        <w:rPr>
          <w:rFonts w:hint="eastAsia" w:ascii="仿宋" w:hAnsi="仿宋" w:eastAsia="仿宋" w:cs="仿宋"/>
          <w:sz w:val="28"/>
          <w:szCs w:val="28"/>
          <w:lang w:val="en-US" w:eastAsia="zh-CN"/>
        </w:rPr>
        <w:t>需要</w:t>
      </w:r>
      <w:r>
        <w:rPr>
          <w:rFonts w:hint="eastAsia" w:ascii="仿宋" w:hAnsi="仿宋" w:eastAsia="仿宋" w:cs="仿宋"/>
          <w:sz w:val="28"/>
          <w:szCs w:val="28"/>
        </w:rPr>
        <w:t>根据最新会计制度要求，升级公共基础设施模块，主要用于单位将归属公共基础设施科目的资产录入资产，并</w:t>
      </w:r>
      <w:r>
        <w:rPr>
          <w:rFonts w:hint="eastAsia" w:ascii="仿宋" w:hAnsi="仿宋" w:eastAsia="仿宋" w:cs="仿宋"/>
          <w:sz w:val="28"/>
          <w:szCs w:val="28"/>
          <w:lang w:val="en-US" w:eastAsia="zh-CN"/>
        </w:rPr>
        <w:t>可</w:t>
      </w:r>
      <w:r>
        <w:rPr>
          <w:rFonts w:hint="eastAsia" w:ascii="仿宋" w:hAnsi="仿宋" w:eastAsia="仿宋" w:cs="仿宋"/>
          <w:sz w:val="28"/>
          <w:szCs w:val="28"/>
        </w:rPr>
        <w:t>根据制度要求进行计提折旧。</w:t>
      </w:r>
    </w:p>
    <w:p>
      <w:pPr>
        <w:numPr>
          <w:ilvl w:val="0"/>
          <w:numId w:val="1"/>
        </w:numPr>
        <w:rPr>
          <w:rFonts w:hint="eastAsia" w:ascii="黑体" w:hAnsi="黑体" w:eastAsia="黑体" w:cs="黑体"/>
          <w:b/>
          <w:bCs/>
          <w:sz w:val="30"/>
          <w:szCs w:val="30"/>
        </w:rPr>
      </w:pPr>
      <w:r>
        <w:rPr>
          <w:rFonts w:hint="eastAsia" w:ascii="黑体" w:hAnsi="黑体" w:eastAsia="黑体" w:cs="黑体"/>
          <w:b/>
          <w:bCs/>
          <w:sz w:val="30"/>
          <w:szCs w:val="30"/>
        </w:rPr>
        <w:t>主要货物</w:t>
      </w:r>
    </w:p>
    <w:p>
      <w:pPr>
        <w:pStyle w:val="8"/>
        <w:numPr>
          <w:ilvl w:val="0"/>
          <w:numId w:val="0"/>
        </w:numPr>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1.软件部分</w:t>
      </w:r>
    </w:p>
    <w:tbl>
      <w:tblPr>
        <w:tblStyle w:val="13"/>
        <w:tblW w:w="8777" w:type="dxa"/>
        <w:jc w:val="center"/>
        <w:tblLayout w:type="fixed"/>
        <w:tblCellMar>
          <w:top w:w="0" w:type="dxa"/>
          <w:left w:w="0" w:type="dxa"/>
          <w:bottom w:w="0" w:type="dxa"/>
          <w:right w:w="0" w:type="dxa"/>
        </w:tblCellMar>
      </w:tblPr>
      <w:tblGrid>
        <w:gridCol w:w="505"/>
        <w:gridCol w:w="1095"/>
        <w:gridCol w:w="500"/>
        <w:gridCol w:w="6677"/>
      </w:tblGrid>
      <w:tr>
        <w:tblPrEx>
          <w:tblCellMar>
            <w:top w:w="0" w:type="dxa"/>
            <w:left w:w="0" w:type="dxa"/>
            <w:bottom w:w="0" w:type="dxa"/>
            <w:right w:w="0" w:type="dxa"/>
          </w:tblCellMar>
        </w:tblPrEx>
        <w:trPr>
          <w:jc w:val="center"/>
        </w:trPr>
        <w:tc>
          <w:tcPr>
            <w:tcW w:w="505" w:type="dxa"/>
            <w:tcBorders>
              <w:top w:val="single" w:color="auto" w:sz="8" w:space="0"/>
              <w:left w:val="single" w:color="auto" w:sz="8" w:space="0"/>
              <w:bottom w:val="single" w:color="auto" w:sz="4"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color w:val="000000"/>
                <w:kern w:val="0"/>
                <w:sz w:val="24"/>
                <w:szCs w:val="24"/>
              </w:rPr>
              <w:t>序号</w:t>
            </w:r>
          </w:p>
        </w:tc>
        <w:tc>
          <w:tcPr>
            <w:tcW w:w="1095" w:type="dxa"/>
            <w:tcBorders>
              <w:top w:val="single" w:color="auto" w:sz="8" w:space="0"/>
              <w:left w:val="nil"/>
              <w:bottom w:val="single" w:color="auto" w:sz="4"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功能</w:t>
            </w:r>
          </w:p>
          <w:p>
            <w:pPr>
              <w:widowControl/>
              <w:jc w:val="center"/>
              <w:rPr>
                <w:rFonts w:hint="eastAsia" w:ascii="仿宋" w:hAnsi="仿宋" w:eastAsia="仿宋" w:cs="仿宋"/>
                <w:b/>
                <w:bCs/>
                <w:kern w:val="0"/>
                <w:sz w:val="24"/>
                <w:szCs w:val="24"/>
              </w:rPr>
            </w:pPr>
            <w:r>
              <w:rPr>
                <w:rFonts w:hint="eastAsia" w:ascii="仿宋" w:hAnsi="仿宋" w:eastAsia="仿宋" w:cs="仿宋"/>
                <w:b/>
                <w:bCs/>
                <w:color w:val="000000"/>
                <w:kern w:val="0"/>
                <w:sz w:val="24"/>
                <w:szCs w:val="24"/>
              </w:rPr>
              <w:t>模块</w:t>
            </w:r>
          </w:p>
        </w:tc>
        <w:tc>
          <w:tcPr>
            <w:tcW w:w="500" w:type="dxa"/>
            <w:tcBorders>
              <w:top w:val="single" w:color="auto" w:sz="8" w:space="0"/>
              <w:left w:val="nil"/>
              <w:bottom w:val="single" w:color="auto" w:sz="4"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color w:val="000000"/>
                <w:kern w:val="0"/>
                <w:sz w:val="24"/>
                <w:szCs w:val="24"/>
              </w:rPr>
              <w:t>数量</w:t>
            </w:r>
          </w:p>
        </w:tc>
        <w:tc>
          <w:tcPr>
            <w:tcW w:w="6677" w:type="dxa"/>
            <w:tcBorders>
              <w:top w:val="single" w:color="auto" w:sz="8" w:space="0"/>
              <w:left w:val="nil"/>
              <w:bottom w:val="single" w:color="auto" w:sz="4"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color w:val="000000"/>
                <w:kern w:val="0"/>
                <w:sz w:val="24"/>
                <w:szCs w:val="24"/>
                <w:lang w:val="en-US" w:eastAsia="zh-CN"/>
              </w:rPr>
              <w:t>软件升级</w:t>
            </w:r>
            <w:r>
              <w:rPr>
                <w:rFonts w:hint="eastAsia" w:ascii="仿宋" w:hAnsi="仿宋" w:eastAsia="仿宋" w:cs="仿宋"/>
                <w:b/>
                <w:bCs/>
                <w:color w:val="000000"/>
                <w:kern w:val="0"/>
                <w:sz w:val="24"/>
                <w:szCs w:val="24"/>
              </w:rPr>
              <w:t>说明</w:t>
            </w:r>
          </w:p>
        </w:tc>
      </w:tr>
      <w:tr>
        <w:tblPrEx>
          <w:tblCellMar>
            <w:top w:w="0" w:type="dxa"/>
            <w:left w:w="0" w:type="dxa"/>
            <w:bottom w:w="0" w:type="dxa"/>
            <w:right w:w="0" w:type="dxa"/>
          </w:tblCellMar>
        </w:tblPrEx>
        <w:trPr>
          <w:jc w:val="center"/>
        </w:trPr>
        <w:tc>
          <w:tcPr>
            <w:tcW w:w="505" w:type="dxa"/>
            <w:tcBorders>
              <w:top w:val="single" w:color="auto" w:sz="4" w:space="0"/>
              <w:left w:val="single" w:color="auto" w:sz="4" w:space="0"/>
              <w:bottom w:val="nil"/>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color w:val="000000"/>
                <w:kern w:val="0"/>
                <w:szCs w:val="21"/>
              </w:rPr>
              <w:t>1</w:t>
            </w:r>
          </w:p>
        </w:tc>
        <w:tc>
          <w:tcPr>
            <w:tcW w:w="1095" w:type="dxa"/>
            <w:tcBorders>
              <w:top w:val="single" w:color="auto" w:sz="4" w:space="0"/>
              <w:left w:val="nil"/>
              <w:bottom w:val="nil"/>
              <w:right w:val="single" w:color="auto" w:sz="8" w:space="0"/>
            </w:tcBorders>
            <w:noWrap/>
            <w:tcMar>
              <w:top w:w="0" w:type="dxa"/>
              <w:left w:w="108" w:type="dxa"/>
              <w:bottom w:w="0" w:type="dxa"/>
              <w:right w:w="108" w:type="dxa"/>
            </w:tcMar>
            <w:vAlign w:val="center"/>
          </w:tcPr>
          <w:p>
            <w:pPr>
              <w:widowControl/>
              <w:jc w:val="center"/>
              <w:rPr>
                <w:rFonts w:hint="eastAsia" w:ascii="仿宋_GB2312" w:hAnsi="仿宋" w:eastAsia="仿宋_GB2312"/>
                <w:sz w:val="24"/>
                <w:szCs w:val="24"/>
              </w:rPr>
            </w:pPr>
            <w:r>
              <w:rPr>
                <w:rFonts w:hint="eastAsia" w:ascii="仿宋_GB2312" w:hAnsi="仿宋" w:eastAsia="仿宋_GB2312"/>
                <w:sz w:val="24"/>
                <w:szCs w:val="24"/>
              </w:rPr>
              <w:t>公物仓</w:t>
            </w:r>
          </w:p>
          <w:p>
            <w:pPr>
              <w:widowControl/>
              <w:jc w:val="center"/>
              <w:rPr>
                <w:rFonts w:ascii="宋体" w:hAnsi="宋体" w:cs="宋体"/>
                <w:kern w:val="0"/>
                <w:szCs w:val="21"/>
              </w:rPr>
            </w:pPr>
            <w:r>
              <w:rPr>
                <w:rFonts w:hint="eastAsia" w:ascii="仿宋_GB2312" w:hAnsi="仿宋" w:eastAsia="仿宋_GB2312"/>
                <w:sz w:val="24"/>
                <w:szCs w:val="24"/>
              </w:rPr>
              <w:t>系统</w:t>
            </w:r>
          </w:p>
        </w:tc>
        <w:tc>
          <w:tcPr>
            <w:tcW w:w="500" w:type="dxa"/>
            <w:tcBorders>
              <w:top w:val="single" w:color="auto" w:sz="4" w:space="0"/>
              <w:left w:val="nil"/>
              <w:bottom w:val="nil"/>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Cs w:val="21"/>
                <w:lang w:eastAsia="zh-CN"/>
              </w:rPr>
            </w:pPr>
            <w:r>
              <w:rPr>
                <w:rFonts w:hint="eastAsia" w:ascii="仿宋_GB2312" w:hAnsi="仿宋" w:eastAsia="仿宋_GB2312" w:cs="Times New Roman"/>
                <w:sz w:val="24"/>
                <w:szCs w:val="24"/>
              </w:rPr>
              <w:t>1</w:t>
            </w:r>
            <w:r>
              <w:rPr>
                <w:rFonts w:hint="eastAsia" w:ascii="仿宋_GB2312" w:hAnsi="仿宋" w:eastAsia="仿宋_GB2312" w:cs="Times New Roman"/>
                <w:sz w:val="24"/>
                <w:szCs w:val="24"/>
                <w:lang w:val="en-US" w:eastAsia="zh-CN"/>
              </w:rPr>
              <w:t>套</w:t>
            </w:r>
          </w:p>
        </w:tc>
        <w:tc>
          <w:tcPr>
            <w:tcW w:w="6677" w:type="dxa"/>
            <w:tcBorders>
              <w:top w:val="single" w:color="auto" w:sz="4" w:space="0"/>
              <w:left w:val="nil"/>
              <w:bottom w:val="nil"/>
              <w:right w:val="single" w:color="auto" w:sz="4" w:space="0"/>
            </w:tcBorders>
            <w:noWrap/>
            <w:tcMar>
              <w:top w:w="0" w:type="dxa"/>
              <w:left w:w="108" w:type="dxa"/>
              <w:bottom w:w="0" w:type="dxa"/>
              <w:right w:w="108" w:type="dxa"/>
            </w:tcMar>
            <w:vAlign w:val="center"/>
          </w:tcPr>
          <w:p>
            <w:pPr>
              <w:spacing w:line="360" w:lineRule="auto"/>
              <w:ind w:firstLine="420" w:firstLineChars="200"/>
              <w:jc w:val="left"/>
              <w:rPr>
                <w:rFonts w:ascii="仿宋_GB2312" w:hAnsi="华文仿宋" w:eastAsia="仿宋_GB2312"/>
              </w:rPr>
            </w:pPr>
            <w:r>
              <w:rPr>
                <w:rFonts w:hint="eastAsia" w:ascii="仿宋_GB2312" w:hAnsi="华文仿宋" w:eastAsia="仿宋_GB2312"/>
              </w:rPr>
              <w:t>公物仓资产管理主要是基层单位资产管理员可查看公物仓展示的可调剂的资产，基层单位选择这些资产形成调拨单据，提交上级主管、财政审批，上级主管及财政单位根据单位存量信息及相关配置标准给予批复。核实无误后即可通知单位进行资产调拨，此时移交单位自动生成处置销账单，接受单位内部可自动生成验收单，接收所申请调拨资产并入库。公务仓拥有公务仓展示、资产调入、资产调出、资产借用、资产归还。</w:t>
            </w:r>
          </w:p>
          <w:p>
            <w:pPr>
              <w:widowControl/>
              <w:jc w:val="left"/>
              <w:rPr>
                <w:rFonts w:ascii="宋体" w:hAnsi="宋体" w:cs="宋体"/>
                <w:kern w:val="0"/>
                <w:szCs w:val="21"/>
              </w:rPr>
            </w:pPr>
          </w:p>
        </w:tc>
      </w:tr>
      <w:tr>
        <w:tblPrEx>
          <w:tblCellMar>
            <w:top w:w="0" w:type="dxa"/>
            <w:left w:w="0" w:type="dxa"/>
            <w:bottom w:w="0" w:type="dxa"/>
            <w:right w:w="0" w:type="dxa"/>
          </w:tblCellMar>
        </w:tblPrEx>
        <w:trPr>
          <w:jc w:val="center"/>
        </w:trPr>
        <w:tc>
          <w:tcPr>
            <w:tcW w:w="505" w:type="dxa"/>
            <w:tcBorders>
              <w:top w:val="nil"/>
              <w:left w:val="single" w:color="auto" w:sz="4" w:space="0"/>
              <w:bottom w:val="nil"/>
              <w:right w:val="single" w:color="auto" w:sz="8" w:space="0"/>
            </w:tcBorders>
            <w:noWrap/>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095" w:type="dxa"/>
            <w:tcBorders>
              <w:top w:val="nil"/>
              <w:left w:val="nil"/>
              <w:bottom w:val="nil"/>
              <w:right w:val="single" w:color="auto" w:sz="8" w:space="0"/>
            </w:tcBorders>
            <w:noWrap/>
            <w:tcMar>
              <w:top w:w="0" w:type="dxa"/>
              <w:left w:w="108" w:type="dxa"/>
              <w:bottom w:w="0" w:type="dxa"/>
              <w:right w:w="108" w:type="dxa"/>
            </w:tcMar>
            <w:vAlign w:val="center"/>
          </w:tcPr>
          <w:p>
            <w:pPr>
              <w:widowControl/>
              <w:jc w:val="center"/>
              <w:rPr>
                <w:rFonts w:hint="eastAsia" w:ascii="仿宋_GB2312" w:hAnsi="仿宋" w:eastAsia="仿宋_GB2312"/>
                <w:sz w:val="24"/>
                <w:szCs w:val="24"/>
              </w:rPr>
            </w:pPr>
            <w:r>
              <w:rPr>
                <w:rFonts w:hint="eastAsia" w:ascii="仿宋_GB2312" w:hAnsi="仿宋" w:eastAsia="仿宋_GB2312"/>
                <w:sz w:val="24"/>
                <w:szCs w:val="24"/>
              </w:rPr>
              <w:t>配置预算</w:t>
            </w:r>
          </w:p>
          <w:p>
            <w:pPr>
              <w:widowControl/>
              <w:jc w:val="center"/>
              <w:rPr>
                <w:rFonts w:ascii="仿宋_GB2312" w:hAnsi="仿宋" w:eastAsia="仿宋_GB2312"/>
                <w:sz w:val="24"/>
                <w:szCs w:val="24"/>
              </w:rPr>
            </w:pPr>
            <w:r>
              <w:rPr>
                <w:rFonts w:hint="eastAsia" w:ascii="仿宋_GB2312" w:hAnsi="仿宋" w:eastAsia="仿宋_GB2312"/>
                <w:sz w:val="24"/>
                <w:szCs w:val="24"/>
              </w:rPr>
              <w:t>系统</w:t>
            </w:r>
          </w:p>
        </w:tc>
        <w:tc>
          <w:tcPr>
            <w:tcW w:w="500" w:type="dxa"/>
            <w:tcBorders>
              <w:top w:val="nil"/>
              <w:left w:val="nil"/>
              <w:bottom w:val="nil"/>
              <w:right w:val="single" w:color="auto" w:sz="8" w:space="0"/>
            </w:tcBorders>
            <w:noWrap/>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仿宋_GB2312" w:hAnsi="仿宋" w:eastAsia="仿宋_GB2312" w:cs="Times New Roman"/>
                <w:sz w:val="24"/>
                <w:szCs w:val="24"/>
              </w:rPr>
              <w:t>1</w:t>
            </w:r>
            <w:r>
              <w:rPr>
                <w:rFonts w:hint="eastAsia" w:ascii="仿宋_GB2312" w:hAnsi="仿宋" w:eastAsia="仿宋_GB2312" w:cs="Times New Roman"/>
                <w:sz w:val="24"/>
                <w:szCs w:val="24"/>
                <w:lang w:val="en-US" w:eastAsia="zh-CN"/>
              </w:rPr>
              <w:t>套</w:t>
            </w:r>
          </w:p>
        </w:tc>
        <w:tc>
          <w:tcPr>
            <w:tcW w:w="6677" w:type="dxa"/>
            <w:tcBorders>
              <w:top w:val="nil"/>
              <w:left w:val="nil"/>
              <w:bottom w:val="nil"/>
              <w:right w:val="single" w:color="auto" w:sz="4" w:space="0"/>
            </w:tcBorders>
            <w:noWrap/>
            <w:tcMar>
              <w:top w:w="0" w:type="dxa"/>
              <w:left w:w="108" w:type="dxa"/>
              <w:bottom w:w="0" w:type="dxa"/>
              <w:right w:w="108" w:type="dxa"/>
            </w:tcMar>
            <w:vAlign w:val="center"/>
          </w:tcPr>
          <w:p>
            <w:pPr>
              <w:spacing w:line="360" w:lineRule="auto"/>
              <w:ind w:firstLine="420"/>
              <w:rPr>
                <w:rFonts w:eastAsia="仿宋_GB2312"/>
              </w:rPr>
            </w:pPr>
            <w:r>
              <w:rPr>
                <w:rFonts w:hint="eastAsia" w:ascii="仿宋_GB2312" w:hAnsi="华文仿宋" w:eastAsia="仿宋_GB2312"/>
              </w:rPr>
              <w:t>对于单位所有资产进行科学的控制，实现优化资产结构，完善资产分类细化，达到资产的合理配备要求。配置预算系统拥有配置标准查看；对单位内资产按照配置分类细化；配置预算基础信息维护和预算申报，预算追加功能，还可以查看单位信息的修改记录；实现对配置预算的全方位全流程管理。</w:t>
            </w:r>
          </w:p>
          <w:p>
            <w:pPr>
              <w:widowControl/>
              <w:jc w:val="left"/>
              <w:rPr>
                <w:rFonts w:ascii="宋体" w:hAnsi="宋体" w:cs="宋体"/>
                <w:color w:val="000000"/>
                <w:kern w:val="0"/>
                <w:szCs w:val="21"/>
              </w:rPr>
            </w:pPr>
          </w:p>
        </w:tc>
      </w:tr>
      <w:tr>
        <w:tblPrEx>
          <w:tblCellMar>
            <w:top w:w="0" w:type="dxa"/>
            <w:left w:w="0" w:type="dxa"/>
            <w:bottom w:w="0" w:type="dxa"/>
            <w:right w:w="0" w:type="dxa"/>
          </w:tblCellMar>
        </w:tblPrEx>
        <w:trPr>
          <w:jc w:val="center"/>
        </w:trPr>
        <w:tc>
          <w:tcPr>
            <w:tcW w:w="505" w:type="dxa"/>
            <w:tcBorders>
              <w:top w:val="nil"/>
              <w:left w:val="single" w:color="auto" w:sz="4" w:space="0"/>
              <w:bottom w:val="nil"/>
              <w:right w:val="single" w:color="auto" w:sz="8" w:space="0"/>
            </w:tcBorders>
            <w:noWrap/>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095" w:type="dxa"/>
            <w:tcBorders>
              <w:top w:val="nil"/>
              <w:left w:val="nil"/>
              <w:bottom w:val="nil"/>
              <w:right w:val="single" w:color="auto" w:sz="8" w:space="0"/>
            </w:tcBorders>
            <w:noWrap/>
            <w:tcMar>
              <w:top w:w="0" w:type="dxa"/>
              <w:left w:w="108" w:type="dxa"/>
              <w:bottom w:w="0" w:type="dxa"/>
              <w:right w:w="108" w:type="dxa"/>
            </w:tcMar>
            <w:vAlign w:val="center"/>
          </w:tcPr>
          <w:p>
            <w:pPr>
              <w:widowControl/>
              <w:jc w:val="center"/>
              <w:rPr>
                <w:rFonts w:ascii="仿宋_GB2312" w:hAnsi="仿宋" w:eastAsia="仿宋_GB2312"/>
                <w:sz w:val="24"/>
                <w:szCs w:val="24"/>
              </w:rPr>
            </w:pPr>
            <w:r>
              <w:rPr>
                <w:rFonts w:hint="eastAsia" w:ascii="仿宋_GB2312" w:hAnsi="仿宋" w:eastAsia="仿宋_GB2312" w:cs="Times New Roman"/>
                <w:sz w:val="24"/>
                <w:szCs w:val="24"/>
                <w:lang w:val="en-US" w:eastAsia="zh-CN"/>
              </w:rPr>
              <w:t>资产管理绩效评价系统</w:t>
            </w:r>
          </w:p>
        </w:tc>
        <w:tc>
          <w:tcPr>
            <w:tcW w:w="500" w:type="dxa"/>
            <w:tcBorders>
              <w:top w:val="nil"/>
              <w:left w:val="nil"/>
              <w:bottom w:val="nil"/>
              <w:right w:val="single" w:color="auto" w:sz="8" w:space="0"/>
            </w:tcBorders>
            <w:noWrap/>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仿宋_GB2312" w:hAnsi="仿宋" w:eastAsia="仿宋_GB2312" w:cs="Times New Roman"/>
                <w:sz w:val="24"/>
                <w:szCs w:val="24"/>
              </w:rPr>
              <w:t>1</w:t>
            </w:r>
            <w:r>
              <w:rPr>
                <w:rFonts w:hint="eastAsia" w:ascii="仿宋_GB2312" w:hAnsi="仿宋" w:eastAsia="仿宋_GB2312" w:cs="Times New Roman"/>
                <w:sz w:val="24"/>
                <w:szCs w:val="24"/>
                <w:lang w:val="en-US" w:eastAsia="zh-CN"/>
              </w:rPr>
              <w:t>套</w:t>
            </w:r>
          </w:p>
        </w:tc>
        <w:tc>
          <w:tcPr>
            <w:tcW w:w="6677" w:type="dxa"/>
            <w:tcBorders>
              <w:top w:val="nil"/>
              <w:left w:val="nil"/>
              <w:bottom w:val="nil"/>
              <w:right w:val="single" w:color="auto" w:sz="4" w:space="0"/>
            </w:tcBorders>
            <w:noWrap/>
            <w:tcMar>
              <w:top w:w="0" w:type="dxa"/>
              <w:left w:w="108" w:type="dxa"/>
              <w:bottom w:w="0" w:type="dxa"/>
              <w:right w:w="108" w:type="dxa"/>
            </w:tcMar>
            <w:vAlign w:val="center"/>
          </w:tcPr>
          <w:p>
            <w:pPr>
              <w:spacing w:line="360" w:lineRule="auto"/>
              <w:ind w:firstLine="420" w:firstLineChars="200"/>
              <w:rPr>
                <w:rFonts w:hint="eastAsia" w:ascii="仿宋_GB2312" w:hAnsi="宋体" w:eastAsia="仿宋_GB2312" w:cs="Times New Roman"/>
                <w:bCs/>
                <w:szCs w:val="21"/>
              </w:rPr>
            </w:pPr>
            <w:r>
              <w:rPr>
                <w:rFonts w:hint="eastAsia" w:ascii="仿宋_GB2312" w:hAnsi="宋体" w:eastAsia="仿宋_GB2312" w:cs="Times New Roman"/>
                <w:bCs/>
                <w:szCs w:val="21"/>
                <w:lang w:val="en-US" w:eastAsia="zh-CN"/>
              </w:rPr>
              <w:t>按照莒南县</w:t>
            </w:r>
            <w:r>
              <w:rPr>
                <w:rFonts w:hint="eastAsia" w:ascii="仿宋_GB2312" w:hAnsi="宋体" w:eastAsia="仿宋_GB2312" w:cs="Times New Roman"/>
                <w:bCs/>
                <w:szCs w:val="21"/>
              </w:rPr>
              <w:t>的绩效评价标准，主要用于资产绩效考核，各相关人员对资产管理工作的自评考核和互评考核，以及考核结果汇总。考核内容需要以套表的形式来进行。</w:t>
            </w:r>
          </w:p>
          <w:p>
            <w:pPr>
              <w:spacing w:line="360" w:lineRule="auto"/>
              <w:ind w:firstLine="420" w:firstLineChars="200"/>
              <w:rPr>
                <w:rFonts w:hint="eastAsia" w:ascii="仿宋_GB2312" w:hAnsi="宋体" w:eastAsia="仿宋_GB2312" w:cs="Times New Roman"/>
                <w:bCs/>
                <w:szCs w:val="21"/>
              </w:rPr>
            </w:pPr>
            <w:r>
              <w:rPr>
                <w:rFonts w:hint="eastAsia" w:ascii="仿宋_GB2312" w:hAnsi="宋体" w:eastAsia="仿宋_GB2312" w:cs="Times New Roman"/>
                <w:bCs/>
                <w:szCs w:val="21"/>
              </w:rPr>
              <w:t>系统设置主要评价制表为县直行政事业单位的资产制度管理、资产配置管理、资产使用管理、资产处置管理、资产产权管理、资产统计管理等内容。设置具体参数指标标准，通过系统查询分析生成相关数据，绩效评价由单位进行自评，填报《行政事业性国有资产管理绩效评价表》并撰写自评报告。</w:t>
            </w:r>
          </w:p>
          <w:p>
            <w:pPr>
              <w:pStyle w:val="8"/>
            </w:pPr>
          </w:p>
        </w:tc>
      </w:tr>
      <w:tr>
        <w:tblPrEx>
          <w:tblCellMar>
            <w:top w:w="0" w:type="dxa"/>
            <w:left w:w="0" w:type="dxa"/>
            <w:bottom w:w="0" w:type="dxa"/>
            <w:right w:w="0" w:type="dxa"/>
          </w:tblCellMar>
        </w:tblPrEx>
        <w:trPr>
          <w:jc w:val="center"/>
        </w:trPr>
        <w:tc>
          <w:tcPr>
            <w:tcW w:w="505" w:type="dxa"/>
            <w:tcBorders>
              <w:top w:val="nil"/>
              <w:left w:val="single" w:color="auto" w:sz="4" w:space="0"/>
              <w:bottom w:val="nil"/>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1095" w:type="dxa"/>
            <w:tcBorders>
              <w:top w:val="nil"/>
              <w:left w:val="nil"/>
              <w:bottom w:val="nil"/>
              <w:right w:val="single" w:color="auto" w:sz="8" w:space="0"/>
            </w:tcBorders>
            <w:noWrap/>
            <w:tcMar>
              <w:top w:w="0" w:type="dxa"/>
              <w:left w:w="108" w:type="dxa"/>
              <w:bottom w:w="0" w:type="dxa"/>
              <w:right w:w="108" w:type="dxa"/>
            </w:tcMar>
            <w:vAlign w:val="center"/>
          </w:tcPr>
          <w:p>
            <w:pPr>
              <w:widowControl/>
              <w:jc w:val="center"/>
              <w:rPr>
                <w:rFonts w:hint="eastAsia" w:ascii="仿宋_GB2312" w:hAnsi="仿宋" w:eastAsia="仿宋_GB2312"/>
                <w:sz w:val="24"/>
                <w:szCs w:val="24"/>
              </w:rPr>
            </w:pPr>
            <w:r>
              <w:rPr>
                <w:rFonts w:hint="eastAsia" w:ascii="仿宋_GB2312" w:hAnsi="仿宋" w:eastAsia="仿宋_GB2312"/>
                <w:sz w:val="24"/>
                <w:szCs w:val="24"/>
              </w:rPr>
              <w:t>公共基础设施系统</w:t>
            </w:r>
          </w:p>
        </w:tc>
        <w:tc>
          <w:tcPr>
            <w:tcW w:w="500" w:type="dxa"/>
            <w:tcBorders>
              <w:top w:val="nil"/>
              <w:left w:val="nil"/>
              <w:bottom w:val="nil"/>
              <w:right w:val="single" w:color="auto" w:sz="8" w:space="0"/>
            </w:tcBorders>
            <w:noWrap/>
            <w:tcMar>
              <w:top w:w="0" w:type="dxa"/>
              <w:left w:w="108" w:type="dxa"/>
              <w:bottom w:w="0" w:type="dxa"/>
              <w:right w:w="108" w:type="dxa"/>
            </w:tcMar>
            <w:vAlign w:val="center"/>
          </w:tcPr>
          <w:p>
            <w:pPr>
              <w:widowControl/>
              <w:jc w:val="center"/>
              <w:rPr>
                <w:rFonts w:hint="eastAsia" w:ascii="宋体" w:hAnsi="宋体" w:cs="宋体"/>
                <w:color w:val="000000"/>
                <w:kern w:val="0"/>
                <w:szCs w:val="21"/>
              </w:rPr>
            </w:pPr>
            <w:r>
              <w:rPr>
                <w:rFonts w:hint="eastAsia" w:ascii="仿宋_GB2312" w:hAnsi="仿宋" w:eastAsia="仿宋_GB2312" w:cs="Times New Roman"/>
                <w:sz w:val="24"/>
                <w:szCs w:val="24"/>
              </w:rPr>
              <w:t>1</w:t>
            </w:r>
            <w:r>
              <w:rPr>
                <w:rFonts w:hint="eastAsia" w:ascii="仿宋_GB2312" w:hAnsi="仿宋" w:eastAsia="仿宋_GB2312" w:cs="Times New Roman"/>
                <w:sz w:val="24"/>
                <w:szCs w:val="24"/>
                <w:lang w:val="en-US" w:eastAsia="zh-CN"/>
              </w:rPr>
              <w:t>套</w:t>
            </w:r>
          </w:p>
        </w:tc>
        <w:tc>
          <w:tcPr>
            <w:tcW w:w="6677" w:type="dxa"/>
            <w:tcBorders>
              <w:top w:val="nil"/>
              <w:left w:val="nil"/>
              <w:bottom w:val="nil"/>
              <w:right w:val="single" w:color="auto" w:sz="4" w:space="0"/>
            </w:tcBorders>
            <w:noWrap/>
            <w:tcMar>
              <w:top w:w="0" w:type="dxa"/>
              <w:left w:w="108" w:type="dxa"/>
              <w:bottom w:w="0" w:type="dxa"/>
              <w:right w:w="108" w:type="dxa"/>
            </w:tcMar>
            <w:vAlign w:val="center"/>
          </w:tcPr>
          <w:p>
            <w:pPr>
              <w:spacing w:line="360" w:lineRule="auto"/>
              <w:ind w:firstLine="420" w:firstLineChars="200"/>
              <w:rPr>
                <w:rFonts w:ascii="仿宋_GB2312" w:hAnsi="宋体" w:eastAsia="仿宋_GB2312"/>
                <w:bCs/>
                <w:szCs w:val="21"/>
              </w:rPr>
            </w:pPr>
            <w:r>
              <w:rPr>
                <w:rFonts w:hint="eastAsia" w:ascii="仿宋_GB2312" w:hAnsi="宋体" w:eastAsia="仿宋_GB2312"/>
                <w:bCs/>
                <w:szCs w:val="21"/>
              </w:rPr>
              <w:t>公共基础设施是指政府会计主体为满足社会公共需求而控制的有形资产，主要特征有三方面，一是一个有形资产系统或网络的组成部分；二是具有特定用途；三是一般不可移动。公共基础设施主要包括市政基础设施（如城市道路、桥梁、广场以及环卫、污水处理等）、交通基础设施（如公路、航道、港口等）、水利基础设施（如大坝、堤防、水闸、渠道等）和其他公共基础设施。可以对公共基础设施的资产进行登记、变动、处置全生命周期的管理。</w:t>
            </w:r>
          </w:p>
          <w:p>
            <w:pPr>
              <w:widowControl/>
              <w:jc w:val="left"/>
              <w:rPr>
                <w:rFonts w:ascii="宋体" w:hAnsi="宋体" w:cs="宋体"/>
                <w:color w:val="000000"/>
                <w:kern w:val="0"/>
                <w:szCs w:val="21"/>
              </w:rPr>
            </w:pPr>
          </w:p>
        </w:tc>
      </w:tr>
      <w:tr>
        <w:tblPrEx>
          <w:tblCellMar>
            <w:top w:w="0" w:type="dxa"/>
            <w:left w:w="0" w:type="dxa"/>
            <w:bottom w:w="0" w:type="dxa"/>
            <w:right w:w="0" w:type="dxa"/>
          </w:tblCellMar>
        </w:tblPrEx>
        <w:trPr>
          <w:jc w:val="center"/>
        </w:trPr>
        <w:tc>
          <w:tcPr>
            <w:tcW w:w="505" w:type="dxa"/>
            <w:tcBorders>
              <w:top w:val="nil"/>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1095"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widowControl/>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系统</w:t>
            </w:r>
          </w:p>
          <w:p>
            <w:pPr>
              <w:widowControl/>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要求</w:t>
            </w:r>
          </w:p>
        </w:tc>
        <w:tc>
          <w:tcPr>
            <w:tcW w:w="500"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widowControl/>
              <w:jc w:val="center"/>
              <w:rPr>
                <w:rFonts w:hint="eastAsia" w:ascii="仿宋_GB2312" w:hAnsi="仿宋" w:eastAsia="仿宋_GB2312" w:cs="Times New Roman"/>
                <w:sz w:val="24"/>
                <w:szCs w:val="24"/>
              </w:rPr>
            </w:pPr>
          </w:p>
        </w:tc>
        <w:tc>
          <w:tcPr>
            <w:tcW w:w="6677" w:type="dxa"/>
            <w:tcBorders>
              <w:top w:val="nil"/>
              <w:left w:val="nil"/>
              <w:bottom w:val="single" w:color="auto" w:sz="4" w:space="0"/>
              <w:right w:val="single" w:color="auto" w:sz="4" w:space="0"/>
            </w:tcBorders>
            <w:noWrap/>
            <w:tcMar>
              <w:top w:w="0" w:type="dxa"/>
              <w:left w:w="108" w:type="dxa"/>
              <w:bottom w:w="0" w:type="dxa"/>
              <w:right w:w="108" w:type="dxa"/>
            </w:tcMar>
            <w:vAlign w:val="center"/>
          </w:tcPr>
          <w:p>
            <w:pPr>
              <w:widowControl/>
              <w:spacing w:line="360" w:lineRule="auto"/>
              <w:ind w:firstLine="420" w:firstLineChars="200"/>
              <w:jc w:val="left"/>
              <w:rPr>
                <w:rFonts w:ascii="宋体" w:hAnsi="宋体" w:cs="宋体"/>
                <w:color w:val="000000"/>
                <w:kern w:val="0"/>
                <w:szCs w:val="21"/>
              </w:rPr>
            </w:pPr>
            <w:r>
              <w:rPr>
                <w:rFonts w:hint="eastAsia" w:ascii="仿宋_GB2312" w:hAnsi="宋体" w:eastAsia="仿宋_GB2312" w:cs="Times New Roman"/>
                <w:bCs/>
                <w:szCs w:val="21"/>
                <w:lang w:val="en-US" w:eastAsia="zh-CN"/>
              </w:rPr>
              <w:t>升级的</w:t>
            </w:r>
            <w:r>
              <w:rPr>
                <w:rFonts w:hint="eastAsia" w:ascii="仿宋_GB2312" w:hAnsi="宋体" w:eastAsia="仿宋_GB2312" w:cs="Times New Roman"/>
                <w:bCs/>
                <w:szCs w:val="21"/>
              </w:rPr>
              <w:t>系统</w:t>
            </w:r>
            <w:r>
              <w:rPr>
                <w:rFonts w:hint="eastAsia" w:ascii="仿宋_GB2312" w:hAnsi="宋体" w:eastAsia="仿宋_GB2312" w:cs="Times New Roman"/>
                <w:bCs/>
                <w:szCs w:val="21"/>
                <w:lang w:val="en-US" w:eastAsia="zh-CN"/>
              </w:rPr>
              <w:t>内容需要能</w:t>
            </w:r>
            <w:r>
              <w:rPr>
                <w:rFonts w:hint="eastAsia" w:ascii="仿宋_GB2312" w:hAnsi="宋体" w:eastAsia="仿宋_GB2312" w:cs="Times New Roman"/>
                <w:bCs/>
                <w:szCs w:val="21"/>
              </w:rPr>
              <w:t>直接与</w:t>
            </w:r>
            <w:r>
              <w:rPr>
                <w:rFonts w:hint="eastAsia" w:ascii="仿宋_GB2312" w:hAnsi="宋体" w:eastAsia="仿宋_GB2312" w:cs="Times New Roman"/>
                <w:bCs/>
                <w:szCs w:val="21"/>
                <w:lang w:val="en-US" w:eastAsia="zh-CN"/>
              </w:rPr>
              <w:t>我县当前使用的</w:t>
            </w:r>
            <w:r>
              <w:rPr>
                <w:rFonts w:hint="eastAsia" w:ascii="仿宋_GB2312" w:hAnsi="宋体" w:eastAsia="仿宋_GB2312" w:cs="Times New Roman"/>
                <w:bCs/>
                <w:szCs w:val="21"/>
              </w:rPr>
              <w:t>“</w:t>
            </w:r>
            <w:r>
              <w:rPr>
                <w:rFonts w:hint="eastAsia" w:ascii="仿宋_GB2312" w:hAnsi="宋体" w:eastAsia="仿宋_GB2312" w:cs="Times New Roman"/>
                <w:b/>
                <w:bCs w:val="0"/>
                <w:szCs w:val="21"/>
                <w:lang w:val="en-US" w:eastAsia="zh-CN"/>
              </w:rPr>
              <w:t>临沂市</w:t>
            </w:r>
            <w:r>
              <w:rPr>
                <w:rFonts w:hint="eastAsia" w:ascii="仿宋_GB2312" w:hAnsi="宋体" w:eastAsia="仿宋_GB2312" w:cs="Times New Roman"/>
                <w:b/>
                <w:bCs w:val="0"/>
                <w:szCs w:val="21"/>
              </w:rPr>
              <w:t>行政事业资产管理信息系统</w:t>
            </w:r>
            <w:r>
              <w:rPr>
                <w:rFonts w:hint="eastAsia" w:ascii="仿宋_GB2312" w:hAnsi="宋体" w:eastAsia="仿宋_GB2312" w:cs="Times New Roman"/>
                <w:bCs/>
                <w:szCs w:val="21"/>
              </w:rPr>
              <w:t>”</w:t>
            </w:r>
            <w:r>
              <w:rPr>
                <w:rFonts w:hint="eastAsia" w:ascii="仿宋_GB2312" w:hAnsi="宋体" w:eastAsia="仿宋_GB2312" w:cs="Times New Roman"/>
                <w:bCs/>
                <w:szCs w:val="21"/>
                <w:lang w:val="en-US" w:eastAsia="zh-CN"/>
              </w:rPr>
              <w:t>嵌为一体，</w:t>
            </w:r>
            <w:r>
              <w:rPr>
                <w:rFonts w:hint="eastAsia" w:ascii="仿宋_GB2312" w:hAnsi="宋体" w:eastAsia="仿宋_GB2312" w:cs="Times New Roman"/>
                <w:bCs/>
                <w:szCs w:val="21"/>
              </w:rPr>
              <w:t>数据</w:t>
            </w:r>
            <w:r>
              <w:rPr>
                <w:rFonts w:hint="eastAsia" w:ascii="仿宋_GB2312" w:hAnsi="宋体" w:eastAsia="仿宋_GB2312" w:cs="Times New Roman"/>
                <w:bCs/>
                <w:szCs w:val="21"/>
                <w:lang w:val="en-US" w:eastAsia="zh-CN"/>
              </w:rPr>
              <w:t>能直接互通</w:t>
            </w:r>
            <w:r>
              <w:rPr>
                <w:rFonts w:hint="eastAsia" w:ascii="仿宋_GB2312" w:hAnsi="宋体" w:eastAsia="仿宋_GB2312" w:cs="Times New Roman"/>
                <w:bCs/>
                <w:szCs w:val="21"/>
              </w:rPr>
              <w:t>对接，通过系统</w:t>
            </w:r>
            <w:r>
              <w:rPr>
                <w:rFonts w:hint="eastAsia" w:ascii="仿宋_GB2312" w:hAnsi="宋体" w:eastAsia="仿宋_GB2312" w:cs="Times New Roman"/>
                <w:bCs/>
                <w:szCs w:val="21"/>
                <w:lang w:val="en-US" w:eastAsia="zh-CN"/>
              </w:rPr>
              <w:t>维护、使用、</w:t>
            </w:r>
            <w:r>
              <w:rPr>
                <w:rFonts w:hint="eastAsia" w:ascii="仿宋_GB2312" w:hAnsi="宋体" w:eastAsia="仿宋_GB2312" w:cs="Times New Roman"/>
                <w:bCs/>
                <w:szCs w:val="21"/>
              </w:rPr>
              <w:t>查询相关数据，简化统计分析的工作量。</w:t>
            </w:r>
          </w:p>
        </w:tc>
      </w:tr>
    </w:tbl>
    <w:p>
      <w:pPr>
        <w:pStyle w:val="12"/>
        <w:spacing w:line="600" w:lineRule="exact"/>
        <w:jc w:val="left"/>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、维护、技术支持及服务</w:t>
      </w:r>
    </w:p>
    <w:p>
      <w:pPr>
        <w:pStyle w:val="9"/>
        <w:spacing w:line="600" w:lineRule="exact"/>
        <w:ind w:firstLine="560"/>
        <w:rPr>
          <w:rFonts w:ascii="仿宋_GB2312" w:eastAsia="仿宋_GB2312" w:hAnsiTheme="minorEastAsia"/>
          <w:color w:val="auto"/>
          <w:sz w:val="28"/>
          <w:szCs w:val="28"/>
        </w:rPr>
      </w:pPr>
      <w:r>
        <w:rPr>
          <w:rFonts w:hint="eastAsia" w:ascii="仿宋_GB2312" w:eastAsia="仿宋_GB2312" w:hAnsiTheme="minorEastAsia"/>
          <w:color w:val="auto"/>
          <w:sz w:val="28"/>
          <w:szCs w:val="28"/>
          <w:lang w:eastAsia="zh-CN"/>
        </w:rPr>
        <w:t>（</w:t>
      </w:r>
      <w:r>
        <w:rPr>
          <w:rFonts w:hint="eastAsia" w:ascii="仿宋_GB2312" w:eastAsia="仿宋_GB2312" w:hAnsiTheme="minorEastAsia"/>
          <w:color w:val="auto"/>
          <w:sz w:val="28"/>
          <w:szCs w:val="28"/>
          <w:lang w:val="en-US" w:eastAsia="zh-CN"/>
        </w:rPr>
        <w:t>1</w:t>
      </w:r>
      <w:r>
        <w:rPr>
          <w:rFonts w:hint="eastAsia" w:ascii="仿宋_GB2312" w:eastAsia="仿宋_GB2312" w:hAnsiTheme="minorEastAsia"/>
          <w:color w:val="auto"/>
          <w:sz w:val="28"/>
          <w:szCs w:val="28"/>
          <w:lang w:eastAsia="zh-CN"/>
        </w:rPr>
        <w:t>）</w:t>
      </w:r>
      <w:r>
        <w:rPr>
          <w:rFonts w:hint="eastAsia" w:ascii="仿宋_GB2312" w:eastAsia="仿宋_GB2312" w:hAnsiTheme="minorEastAsia"/>
          <w:color w:val="auto"/>
          <w:sz w:val="28"/>
          <w:szCs w:val="28"/>
          <w:lang w:val="en-US" w:eastAsia="zh-CN"/>
        </w:rPr>
        <w:t>供应商需</w:t>
      </w:r>
      <w:r>
        <w:rPr>
          <w:rFonts w:hint="eastAsia" w:ascii="仿宋_GB2312" w:eastAsia="仿宋_GB2312" w:hAnsiTheme="minorEastAsia"/>
          <w:color w:val="auto"/>
          <w:sz w:val="28"/>
          <w:szCs w:val="28"/>
        </w:rPr>
        <w:t>对所提供的软件提供壹年的免费技术支持服务。售后技术支持</w:t>
      </w:r>
      <w:r>
        <w:rPr>
          <w:rFonts w:hint="eastAsia" w:ascii="仿宋_GB2312" w:eastAsia="仿宋_GB2312" w:hAnsiTheme="minorEastAsia"/>
          <w:color w:val="auto"/>
          <w:sz w:val="28"/>
          <w:szCs w:val="28"/>
          <w:lang w:val="en-US" w:eastAsia="zh-CN"/>
        </w:rPr>
        <w:t>用</w:t>
      </w:r>
      <w:r>
        <w:rPr>
          <w:rFonts w:hint="eastAsia" w:ascii="仿宋_GB2312" w:eastAsia="仿宋_GB2312" w:hAnsiTheme="minorEastAsia"/>
          <w:color w:val="auto"/>
          <w:sz w:val="28"/>
          <w:szCs w:val="28"/>
        </w:rPr>
        <w:t>于本软件项目的使用培训、指导、疑难解答、软件使用故障排除等；</w:t>
      </w:r>
    </w:p>
    <w:p>
      <w:pPr>
        <w:spacing w:line="600" w:lineRule="exact"/>
        <w:ind w:firstLine="560" w:firstLineChars="200"/>
        <w:rPr>
          <w:rFonts w:hint="eastAsia" w:ascii="仿宋_GB2312" w:eastAsia="仿宋_GB2312" w:hAnsiTheme="minorEastAsia"/>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w:t>
      </w:r>
      <w:r>
        <w:rPr>
          <w:rFonts w:hint="eastAsia" w:ascii="仿宋_GB2312" w:eastAsia="仿宋_GB2312" w:hAnsiTheme="minorEastAsia"/>
          <w:color w:val="auto"/>
          <w:sz w:val="28"/>
          <w:szCs w:val="28"/>
          <w:lang w:val="en-US" w:eastAsia="zh-CN"/>
        </w:rPr>
        <w:t>供应商</w:t>
      </w:r>
      <w:r>
        <w:rPr>
          <w:rFonts w:hint="eastAsia" w:ascii="仿宋_GB2312" w:hAnsi="宋体" w:eastAsia="仿宋_GB2312"/>
          <w:sz w:val="28"/>
          <w:szCs w:val="28"/>
          <w:lang w:val="en-US" w:eastAsia="zh-CN"/>
        </w:rPr>
        <w:t>需</w:t>
      </w:r>
      <w:r>
        <w:rPr>
          <w:rFonts w:hint="eastAsia" w:ascii="仿宋_GB2312" w:hAnsi="宋体" w:eastAsia="仿宋_GB2312"/>
          <w:sz w:val="28"/>
          <w:szCs w:val="28"/>
        </w:rPr>
        <w:t>提供7*24电话热线支持服务和远程技术支持服务。</w:t>
      </w:r>
      <w:r>
        <w:rPr>
          <w:rFonts w:hint="eastAsia" w:ascii="仿宋_GB2312" w:eastAsia="仿宋_GB2312" w:hAnsiTheme="minorEastAsia"/>
          <w:sz w:val="28"/>
          <w:szCs w:val="28"/>
        </w:rPr>
        <w:t>在电话支持和远程维护无法排除故障时，由甲方提出书面上门服务要求，</w:t>
      </w:r>
      <w:r>
        <w:rPr>
          <w:rFonts w:hint="eastAsia" w:ascii="仿宋_GB2312" w:eastAsia="仿宋_GB2312" w:hAnsiTheme="minorEastAsia"/>
          <w:color w:val="auto"/>
          <w:sz w:val="28"/>
          <w:szCs w:val="28"/>
          <w:lang w:val="en-US" w:eastAsia="zh-CN"/>
        </w:rPr>
        <w:t>供应商</w:t>
      </w:r>
      <w:r>
        <w:rPr>
          <w:rFonts w:hint="eastAsia" w:ascii="仿宋_GB2312" w:eastAsia="仿宋_GB2312" w:hAnsiTheme="minorEastAsia"/>
          <w:sz w:val="28"/>
          <w:szCs w:val="28"/>
        </w:rPr>
        <w:t>将在接到甲方的书面要求后72小时内到达现场服务。</w:t>
      </w:r>
    </w:p>
    <w:p>
      <w:pPr>
        <w:spacing w:line="60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3</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甲方要求</w:t>
      </w:r>
      <w:r>
        <w:rPr>
          <w:rFonts w:hint="eastAsia" w:ascii="仿宋_GB2312" w:eastAsia="仿宋_GB2312" w:hAnsiTheme="minorEastAsia"/>
          <w:color w:val="auto"/>
          <w:sz w:val="28"/>
          <w:szCs w:val="28"/>
          <w:lang w:val="en-US" w:eastAsia="zh-CN"/>
        </w:rPr>
        <w:t>供应商</w:t>
      </w:r>
      <w:r>
        <w:rPr>
          <w:rFonts w:hint="eastAsia" w:ascii="仿宋_GB2312" w:eastAsia="仿宋_GB2312" w:hAnsiTheme="minorEastAsia"/>
          <w:sz w:val="28"/>
          <w:szCs w:val="28"/>
        </w:rPr>
        <w:t>提供服务的，</w:t>
      </w:r>
      <w:r>
        <w:rPr>
          <w:rFonts w:hint="eastAsia" w:ascii="仿宋_GB2312" w:eastAsia="仿宋_GB2312" w:hAnsiTheme="minorEastAsia"/>
          <w:color w:val="auto"/>
          <w:sz w:val="28"/>
          <w:szCs w:val="28"/>
          <w:lang w:val="en-US" w:eastAsia="zh-CN"/>
        </w:rPr>
        <w:t>供应商</w:t>
      </w:r>
      <w:r>
        <w:rPr>
          <w:rFonts w:hint="eastAsia" w:ascii="仿宋_GB2312" w:eastAsia="仿宋_GB2312" w:hAnsiTheme="minorEastAsia"/>
          <w:sz w:val="28"/>
          <w:szCs w:val="28"/>
        </w:rPr>
        <w:t>将尽全力为甲方提供技术服务，服务费用由</w:t>
      </w:r>
      <w:r>
        <w:rPr>
          <w:rFonts w:hint="eastAsia" w:ascii="仿宋_GB2312" w:hAnsi="宋体" w:eastAsia="仿宋_GB2312"/>
          <w:sz w:val="28"/>
          <w:szCs w:val="28"/>
        </w:rPr>
        <w:t>双方另行协商。</w:t>
      </w:r>
    </w:p>
    <w:p>
      <w:pPr>
        <w:pStyle w:val="12"/>
        <w:spacing w:line="600" w:lineRule="exact"/>
        <w:jc w:val="left"/>
        <w:rPr>
          <w:rFonts w:ascii="仿宋" w:hAnsi="仿宋" w:eastAsia="仿宋" w:cs="仿宋"/>
          <w:sz w:val="28"/>
          <w:szCs w:val="28"/>
        </w:rPr>
      </w:pPr>
      <w:r>
        <w:rPr>
          <w:rFonts w:hint="default" w:ascii="仿宋" w:hAnsi="仿宋" w:eastAsia="仿宋" w:cs="仿宋"/>
          <w:sz w:val="28"/>
          <w:szCs w:val="28"/>
          <w:lang w:val="en-US"/>
        </w:rPr>
        <w:t>3</w:t>
      </w:r>
      <w:r>
        <w:rPr>
          <w:rFonts w:hint="eastAsia" w:ascii="仿宋" w:hAnsi="仿宋" w:eastAsia="仿宋" w:cs="仿宋"/>
          <w:sz w:val="28"/>
          <w:szCs w:val="28"/>
        </w:rPr>
        <w:t>、软件培训</w:t>
      </w:r>
    </w:p>
    <w:p>
      <w:pPr>
        <w:spacing w:line="60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针对本项目，</w:t>
      </w:r>
      <w:r>
        <w:rPr>
          <w:rFonts w:hint="eastAsia" w:ascii="仿宋_GB2312" w:eastAsia="仿宋_GB2312" w:hAnsiTheme="minorEastAsia"/>
          <w:color w:val="auto"/>
          <w:sz w:val="28"/>
          <w:szCs w:val="28"/>
          <w:lang w:val="en-US" w:eastAsia="zh-CN"/>
        </w:rPr>
        <w:t>供应商</w:t>
      </w:r>
      <w:r>
        <w:rPr>
          <w:rFonts w:hint="eastAsia" w:ascii="仿宋_GB2312" w:eastAsia="仿宋_GB2312" w:hAnsiTheme="minorEastAsia"/>
          <w:sz w:val="28"/>
          <w:szCs w:val="28"/>
        </w:rPr>
        <w:t>负责制定培训计划、方案、讲义、使用操作手册、培训PPT等资料；</w:t>
      </w:r>
      <w:r>
        <w:rPr>
          <w:rFonts w:hint="eastAsia" w:ascii="仿宋_GB2312" w:eastAsia="仿宋_GB2312" w:hAnsiTheme="minorEastAsia"/>
          <w:color w:val="auto"/>
          <w:sz w:val="28"/>
          <w:szCs w:val="28"/>
          <w:lang w:val="en-US" w:eastAsia="zh-CN"/>
        </w:rPr>
        <w:t>供应商</w:t>
      </w:r>
      <w:r>
        <w:rPr>
          <w:rFonts w:hint="eastAsia" w:ascii="仿宋_GB2312" w:eastAsia="仿宋_GB2312" w:hAnsiTheme="minorEastAsia"/>
          <w:sz w:val="28"/>
          <w:szCs w:val="28"/>
        </w:rPr>
        <w:t>采用上门培训的方式，为甲方提供为期1至</w:t>
      </w:r>
      <w:r>
        <w:rPr>
          <w:rFonts w:hint="eastAsia" w:ascii="仿宋_GB2312" w:eastAsia="仿宋_GB2312" w:hAnsiTheme="minorEastAsia"/>
          <w:sz w:val="28"/>
          <w:szCs w:val="28"/>
          <w:lang w:val="en-US" w:eastAsia="zh-CN"/>
        </w:rPr>
        <w:t>2</w:t>
      </w:r>
      <w:r>
        <w:rPr>
          <w:rFonts w:hint="eastAsia" w:ascii="仿宋_GB2312" w:eastAsia="仿宋_GB2312" w:hAnsiTheme="minorEastAsia"/>
          <w:sz w:val="28"/>
          <w:szCs w:val="28"/>
        </w:rPr>
        <w:t>天的免费培训壹次。</w:t>
      </w:r>
    </w:p>
    <w:p/>
    <w:p>
      <w:pPr>
        <w:rPr>
          <w:rFonts w:ascii="仿宋" w:hAnsi="仿宋" w:eastAsia="仿宋" w:cs="仿宋"/>
          <w:sz w:val="28"/>
          <w:szCs w:val="28"/>
        </w:rPr>
      </w:pPr>
    </w:p>
    <w:p>
      <w:pPr>
        <w:pStyle w:val="8"/>
        <w:rPr>
          <w:rFonts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F08AD"/>
    <w:multiLevelType w:val="singleLevel"/>
    <w:tmpl w:val="67AF08A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D692531"/>
    <w:rsid w:val="000E245A"/>
    <w:rsid w:val="00391B4E"/>
    <w:rsid w:val="00942217"/>
    <w:rsid w:val="00F66C81"/>
    <w:rsid w:val="04221134"/>
    <w:rsid w:val="05E526C9"/>
    <w:rsid w:val="076271BB"/>
    <w:rsid w:val="09573B78"/>
    <w:rsid w:val="09852D19"/>
    <w:rsid w:val="13331D72"/>
    <w:rsid w:val="17B236D1"/>
    <w:rsid w:val="189F64B1"/>
    <w:rsid w:val="1EC432F2"/>
    <w:rsid w:val="249022AC"/>
    <w:rsid w:val="26907EC7"/>
    <w:rsid w:val="33260781"/>
    <w:rsid w:val="34C54A01"/>
    <w:rsid w:val="351C0CBA"/>
    <w:rsid w:val="36D74D69"/>
    <w:rsid w:val="3807320B"/>
    <w:rsid w:val="380E44F6"/>
    <w:rsid w:val="3A412E6F"/>
    <w:rsid w:val="3CC732C5"/>
    <w:rsid w:val="40FC6D7B"/>
    <w:rsid w:val="418E06E2"/>
    <w:rsid w:val="42C422A7"/>
    <w:rsid w:val="43184A09"/>
    <w:rsid w:val="48B05015"/>
    <w:rsid w:val="4A207BD1"/>
    <w:rsid w:val="4A5C4E54"/>
    <w:rsid w:val="4D692531"/>
    <w:rsid w:val="4DBC1026"/>
    <w:rsid w:val="4F7E5CAB"/>
    <w:rsid w:val="52B56F51"/>
    <w:rsid w:val="52E070BE"/>
    <w:rsid w:val="5304112D"/>
    <w:rsid w:val="53333050"/>
    <w:rsid w:val="5467364A"/>
    <w:rsid w:val="55AD796E"/>
    <w:rsid w:val="582D7625"/>
    <w:rsid w:val="5AB12548"/>
    <w:rsid w:val="5C580852"/>
    <w:rsid w:val="5C944892"/>
    <w:rsid w:val="624044E3"/>
    <w:rsid w:val="66D759B3"/>
    <w:rsid w:val="6F583442"/>
    <w:rsid w:val="6F907331"/>
    <w:rsid w:val="71AA155A"/>
    <w:rsid w:val="71FF257E"/>
    <w:rsid w:val="76A96CB4"/>
    <w:rsid w:val="77AF4F9D"/>
    <w:rsid w:val="7C4862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heading 2"/>
    <w:basedOn w:val="1"/>
    <w:next w:val="1"/>
    <w:qFormat/>
    <w:uiPriority w:val="99"/>
    <w:pPr>
      <w:keepNext/>
      <w:jc w:val="center"/>
      <w:outlineLvl w:val="1"/>
    </w:pPr>
    <w:rPr>
      <w:rFonts w:ascii="Cambria" w:hAnsi="Cambria"/>
      <w:b/>
      <w:kern w:val="0"/>
      <w:sz w:val="32"/>
      <w:szCs w:val="20"/>
    </w:rPr>
  </w:style>
  <w:style w:type="paragraph" w:styleId="8">
    <w:name w:val="heading 6"/>
    <w:basedOn w:val="1"/>
    <w:next w:val="1"/>
    <w:qFormat/>
    <w:uiPriority w:val="0"/>
    <w:pPr>
      <w:keepNext/>
      <w:keepLines/>
      <w:spacing w:line="317" w:lineRule="auto"/>
      <w:outlineLvl w:val="5"/>
    </w:pPr>
    <w:rPr>
      <w:rFonts w:ascii="Arial" w:hAnsi="Arial" w:eastAsia="黑体"/>
      <w:b/>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qFormat/>
    <w:uiPriority w:val="99"/>
    <w:pPr>
      <w:spacing w:line="540" w:lineRule="exact"/>
      <w:ind w:firstLine="480" w:firstLineChars="200"/>
    </w:pPr>
    <w:rPr>
      <w:kern w:val="0"/>
      <w:sz w:val="24"/>
      <w:szCs w:val="20"/>
    </w:rPr>
  </w:style>
  <w:style w:type="paragraph" w:styleId="4">
    <w:name w:val="Body Text First Indent"/>
    <w:basedOn w:val="5"/>
    <w:qFormat/>
    <w:uiPriority w:val="0"/>
    <w:pPr>
      <w:tabs>
        <w:tab w:val="left" w:pos="567"/>
      </w:tabs>
      <w:ind w:firstLine="420" w:firstLineChars="100"/>
    </w:pPr>
  </w:style>
  <w:style w:type="paragraph" w:styleId="5">
    <w:name w:val="Body Text"/>
    <w:basedOn w:val="1"/>
    <w:next w:val="6"/>
    <w:uiPriority w:val="0"/>
    <w:pPr>
      <w:tabs>
        <w:tab w:val="left" w:pos="567"/>
      </w:tabs>
      <w:spacing w:before="120" w:line="22" w:lineRule="atLeast"/>
    </w:pPr>
    <w:rPr>
      <w:rFonts w:ascii="宋体" w:hAnsi="宋体"/>
      <w:sz w:val="24"/>
    </w:rPr>
  </w:style>
  <w:style w:type="paragraph" w:customStyle="1" w:styleId="6">
    <w:name w:val="段"/>
    <w:qFormat/>
    <w:uiPriority w:val="0"/>
    <w:pPr>
      <w:autoSpaceDE w:val="0"/>
      <w:autoSpaceDN w:val="0"/>
      <w:ind w:firstLine="420" w:firstLineChars="200"/>
      <w:jc w:val="both"/>
    </w:pPr>
    <w:rPr>
      <w:rFonts w:ascii="宋体" w:hAnsi="Times New Roman" w:eastAsia="Times New Roman" w:cs="Times New Roman"/>
      <w:sz w:val="21"/>
      <w:lang w:val="en-US" w:eastAsia="zh-CN" w:bidi="ar-SA"/>
    </w:rPr>
  </w:style>
  <w:style w:type="paragraph" w:styleId="9">
    <w:name w:val="Body Text Indent 2"/>
    <w:basedOn w:val="1"/>
    <w:qFormat/>
    <w:uiPriority w:val="0"/>
    <w:pPr>
      <w:spacing w:line="360" w:lineRule="auto"/>
      <w:ind w:firstLine="420" w:firstLineChars="200"/>
    </w:pPr>
    <w:rPr>
      <w:color w:val="FF00FF"/>
    </w:rPr>
  </w:style>
  <w:style w:type="paragraph" w:styleId="10">
    <w:name w:val="footer"/>
    <w:basedOn w:val="1"/>
    <w:link w:val="16"/>
    <w:qFormat/>
    <w:uiPriority w:val="0"/>
    <w:pPr>
      <w:tabs>
        <w:tab w:val="center" w:pos="4153"/>
        <w:tab w:val="right" w:pos="8306"/>
      </w:tabs>
      <w:snapToGrid w:val="0"/>
      <w:jc w:val="left"/>
    </w:pPr>
    <w:rPr>
      <w:sz w:val="18"/>
      <w:szCs w:val="18"/>
    </w:rPr>
  </w:style>
  <w:style w:type="paragraph" w:styleId="11">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0"/>
    <w:pPr>
      <w:spacing w:before="240" w:after="60"/>
      <w:jc w:val="center"/>
      <w:outlineLvl w:val="0"/>
    </w:pPr>
    <w:rPr>
      <w:rFonts w:asciiTheme="majorHAnsi" w:hAnsiTheme="majorHAnsi" w:cstheme="majorBidi"/>
      <w:b/>
      <w:bCs/>
      <w:sz w:val="32"/>
      <w:szCs w:val="32"/>
    </w:rPr>
  </w:style>
  <w:style w:type="character" w:customStyle="1" w:styleId="15">
    <w:name w:val="页眉 Char"/>
    <w:basedOn w:val="14"/>
    <w:link w:val="11"/>
    <w:qFormat/>
    <w:uiPriority w:val="0"/>
    <w:rPr>
      <w:rFonts w:ascii="Times New Roman" w:hAnsi="Times New Roman"/>
      <w:kern w:val="2"/>
      <w:sz w:val="18"/>
      <w:szCs w:val="18"/>
    </w:rPr>
  </w:style>
  <w:style w:type="character" w:customStyle="1" w:styleId="16">
    <w:name w:val="页脚 Char"/>
    <w:basedOn w:val="14"/>
    <w:link w:val="10"/>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600</Words>
  <Characters>3420</Characters>
  <Lines>28</Lines>
  <Paragraphs>8</Paragraphs>
  <TotalTime>0</TotalTime>
  <ScaleCrop>false</ScaleCrop>
  <LinksUpToDate>false</LinksUpToDate>
  <CharactersWithSpaces>4012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2020-08-27T01:57:00Z</dcterms:created>
  <dc:creator>如果我沉默。</dc:creator>
  <cp:lastModifiedBy>初心</cp:lastModifiedBy>
  <dcterms:modified xsi:type="dcterms:W3CDTF">2021-04-28T06:10:13Z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27AAD29A7D534A259F3E5E7193FCB2B3</vt:lpwstr>
  </property>
</Properties>
</file>